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24" w:rsidRPr="00A804D5" w:rsidRDefault="0014325A" w:rsidP="00140224">
      <w:pPr>
        <w:pStyle w:val="Lead"/>
        <w:tabs>
          <w:tab w:val="left" w:pos="2921"/>
        </w:tabs>
        <w:spacing w:before="120"/>
        <w:jc w:val="center"/>
        <w:rPr>
          <w:caps/>
          <w:sz w:val="28"/>
          <w:szCs w:val="28"/>
          <w:lang w:val="pl-PL"/>
        </w:rPr>
      </w:pPr>
      <w:r w:rsidRPr="00A804D5">
        <w:rPr>
          <w:caps/>
          <w:sz w:val="28"/>
          <w:szCs w:val="28"/>
          <w:lang w:val="pl-PL"/>
        </w:rPr>
        <w:t xml:space="preserve">rynek magazynowy </w:t>
      </w:r>
      <w:r w:rsidR="003A7466" w:rsidRPr="00A804D5">
        <w:rPr>
          <w:caps/>
          <w:sz w:val="28"/>
          <w:szCs w:val="28"/>
          <w:lang w:val="pl-PL"/>
        </w:rPr>
        <w:t xml:space="preserve">– CO PRZYNIESIE </w:t>
      </w:r>
      <w:r w:rsidR="007F640D" w:rsidRPr="00A804D5">
        <w:rPr>
          <w:caps/>
          <w:sz w:val="28"/>
          <w:szCs w:val="28"/>
          <w:lang w:val="pl-PL"/>
        </w:rPr>
        <w:t xml:space="preserve">ROK </w:t>
      </w:r>
      <w:r w:rsidR="003A7466" w:rsidRPr="00A804D5">
        <w:rPr>
          <w:caps/>
          <w:sz w:val="28"/>
          <w:szCs w:val="28"/>
          <w:lang w:val="pl-PL"/>
        </w:rPr>
        <w:t>2014</w:t>
      </w:r>
      <w:r w:rsidR="00140224" w:rsidRPr="00A804D5">
        <w:rPr>
          <w:caps/>
          <w:sz w:val="28"/>
          <w:szCs w:val="28"/>
          <w:lang w:val="pl-PL"/>
        </w:rPr>
        <w:t>?</w:t>
      </w:r>
    </w:p>
    <w:p w:rsidR="00D91D32" w:rsidRPr="0092662B" w:rsidRDefault="00A804D5" w:rsidP="00140224">
      <w:pPr>
        <w:pStyle w:val="Lead"/>
        <w:tabs>
          <w:tab w:val="left" w:pos="2921"/>
        </w:tabs>
        <w:spacing w:before="120"/>
        <w:jc w:val="center"/>
        <w:rPr>
          <w:szCs w:val="24"/>
          <w:lang w:val="pl-PL"/>
        </w:rPr>
      </w:pPr>
      <w:proofErr w:type="spellStart"/>
      <w:r w:rsidRPr="0092662B">
        <w:rPr>
          <w:szCs w:val="24"/>
          <w:lang w:val="pl-PL"/>
        </w:rPr>
        <w:t>Colliers</w:t>
      </w:r>
      <w:proofErr w:type="spellEnd"/>
      <w:r w:rsidRPr="0092662B">
        <w:rPr>
          <w:szCs w:val="24"/>
          <w:lang w:val="pl-PL"/>
        </w:rPr>
        <w:t xml:space="preserve"> International przewiduje </w:t>
      </w:r>
      <w:r w:rsidR="00140224" w:rsidRPr="0092662B">
        <w:rPr>
          <w:szCs w:val="24"/>
          <w:lang w:val="pl-PL"/>
        </w:rPr>
        <w:t xml:space="preserve">powrót projektów spekulacyjnych oraz rozwój tzw. obiektów Small Business </w:t>
      </w:r>
      <w:proofErr w:type="spellStart"/>
      <w:r w:rsidR="00140224" w:rsidRPr="0092662B">
        <w:rPr>
          <w:szCs w:val="24"/>
          <w:lang w:val="pl-PL"/>
        </w:rPr>
        <w:t>Units</w:t>
      </w:r>
      <w:proofErr w:type="spellEnd"/>
      <w:r w:rsidR="00140224" w:rsidRPr="0092662B">
        <w:rPr>
          <w:szCs w:val="24"/>
          <w:lang w:val="pl-PL"/>
        </w:rPr>
        <w:t xml:space="preserve"> </w:t>
      </w:r>
    </w:p>
    <w:p w:rsidR="00140224" w:rsidRPr="00A804D5" w:rsidRDefault="00140224" w:rsidP="00140224">
      <w:pPr>
        <w:pStyle w:val="Lead"/>
        <w:tabs>
          <w:tab w:val="left" w:pos="2921"/>
        </w:tabs>
        <w:spacing w:before="120"/>
        <w:jc w:val="center"/>
        <w:rPr>
          <w:lang w:val="pl-PL"/>
        </w:rPr>
      </w:pPr>
    </w:p>
    <w:p w:rsidR="00197218" w:rsidRPr="00A804D5" w:rsidRDefault="0014325A" w:rsidP="00197218">
      <w:pPr>
        <w:pStyle w:val="Lead"/>
        <w:tabs>
          <w:tab w:val="left" w:pos="2921"/>
        </w:tabs>
        <w:rPr>
          <w:lang w:val="pl-PL"/>
        </w:rPr>
      </w:pPr>
      <w:r w:rsidRPr="00A804D5">
        <w:rPr>
          <w:lang w:val="pl-PL"/>
        </w:rPr>
        <w:t xml:space="preserve">Warszawa, </w:t>
      </w:r>
      <w:r w:rsidR="00C04079" w:rsidRPr="00A804D5">
        <w:rPr>
          <w:lang w:val="pl-PL"/>
        </w:rPr>
        <w:t>28</w:t>
      </w:r>
      <w:r w:rsidRPr="00A804D5">
        <w:rPr>
          <w:lang w:val="pl-PL"/>
        </w:rPr>
        <w:t xml:space="preserve"> </w:t>
      </w:r>
      <w:r w:rsidR="009479FC" w:rsidRPr="00A804D5">
        <w:rPr>
          <w:lang w:val="pl-PL"/>
        </w:rPr>
        <w:t>stycznia 2014 r</w:t>
      </w:r>
      <w:r w:rsidRPr="00A804D5">
        <w:rPr>
          <w:lang w:val="pl-PL"/>
        </w:rPr>
        <w:t>. —</w:t>
      </w:r>
      <w:r w:rsidR="004F5521" w:rsidRPr="00A804D5">
        <w:rPr>
          <w:lang w:val="pl-PL"/>
        </w:rPr>
        <w:t xml:space="preserve"> </w:t>
      </w:r>
      <w:proofErr w:type="spellStart"/>
      <w:r w:rsidRPr="00A804D5">
        <w:rPr>
          <w:lang w:val="pl-PL"/>
        </w:rPr>
        <w:t>Colliers</w:t>
      </w:r>
      <w:proofErr w:type="spellEnd"/>
      <w:r w:rsidRPr="00A804D5">
        <w:rPr>
          <w:lang w:val="pl-PL"/>
        </w:rPr>
        <w:t xml:space="preserve"> International</w:t>
      </w:r>
      <w:r w:rsidR="004F5521" w:rsidRPr="00A804D5">
        <w:rPr>
          <w:lang w:val="pl-PL"/>
        </w:rPr>
        <w:t xml:space="preserve"> podsumował</w:t>
      </w:r>
      <w:r w:rsidRPr="00A804D5">
        <w:rPr>
          <w:lang w:val="pl-PL"/>
        </w:rPr>
        <w:t xml:space="preserve"> aktywność na rynku powie</w:t>
      </w:r>
      <w:r w:rsidR="004F5521" w:rsidRPr="00A804D5">
        <w:rPr>
          <w:lang w:val="pl-PL"/>
        </w:rPr>
        <w:t>rzchni magazynowych w roku 2013</w:t>
      </w:r>
      <w:r w:rsidR="00140224" w:rsidRPr="00A804D5">
        <w:rPr>
          <w:lang w:val="pl-PL"/>
        </w:rPr>
        <w:t>. Gdańsk i Poznań z najniższym współczynnikiem wolnych powierzchni</w:t>
      </w:r>
      <w:r w:rsidR="00A804D5" w:rsidRPr="00A804D5">
        <w:rPr>
          <w:lang w:val="pl-PL"/>
        </w:rPr>
        <w:t>, a Polska Centralna oraz II i III strefa warszawska z najniższymi stawkami czynszów w zeszłym roku.</w:t>
      </w:r>
      <w:r w:rsidR="004F5521" w:rsidRPr="00A804D5">
        <w:rPr>
          <w:lang w:val="pl-PL"/>
        </w:rPr>
        <w:t xml:space="preserve"> </w:t>
      </w:r>
    </w:p>
    <w:p w:rsidR="00A804D5" w:rsidRDefault="00A804D5" w:rsidP="0014325A">
      <w:pPr>
        <w:pStyle w:val="COL5--Bodycopy"/>
        <w:spacing w:after="120"/>
        <w:rPr>
          <w:lang w:val="pl-PL"/>
        </w:rPr>
      </w:pPr>
    </w:p>
    <w:p w:rsidR="0014325A" w:rsidRPr="00C04079" w:rsidRDefault="00A804D5" w:rsidP="0014325A">
      <w:pPr>
        <w:pStyle w:val="COL5--Bodycopy"/>
        <w:spacing w:after="120"/>
        <w:rPr>
          <w:lang w:val="pl-PL"/>
        </w:rPr>
      </w:pPr>
      <w:r>
        <w:rPr>
          <w:lang w:val="pl-PL"/>
        </w:rPr>
        <w:t>Rynek magazynowy w</w:t>
      </w:r>
      <w:r w:rsidR="0014325A" w:rsidRPr="00C04079">
        <w:rPr>
          <w:lang w:val="pl-PL"/>
        </w:rPr>
        <w:t xml:space="preserve">edług </w:t>
      </w:r>
      <w:proofErr w:type="spellStart"/>
      <w:r w:rsidR="0014325A" w:rsidRPr="00C04079">
        <w:rPr>
          <w:lang w:val="pl-PL"/>
        </w:rPr>
        <w:t>Colliers</w:t>
      </w:r>
      <w:proofErr w:type="spellEnd"/>
      <w:r w:rsidR="0014325A" w:rsidRPr="00C04079">
        <w:rPr>
          <w:lang w:val="pl-PL"/>
        </w:rPr>
        <w:t xml:space="preserve"> International:</w:t>
      </w:r>
    </w:p>
    <w:p w:rsidR="0014325A" w:rsidRPr="00634CD6" w:rsidRDefault="0014325A" w:rsidP="0014325A">
      <w:pPr>
        <w:pStyle w:val="COL5--Bodycopy"/>
        <w:spacing w:after="120"/>
        <w:rPr>
          <w:lang w:val="pl-PL"/>
        </w:rPr>
      </w:pPr>
      <w:r w:rsidRPr="00634CD6">
        <w:rPr>
          <w:lang w:val="pl-PL"/>
        </w:rPr>
        <w:t>ZARYS  OGÓLNY</w:t>
      </w:r>
      <w:bookmarkStart w:id="0" w:name="_GoBack"/>
      <w:bookmarkEnd w:id="0"/>
    </w:p>
    <w:p w:rsidR="0014325A" w:rsidRPr="008D1493" w:rsidRDefault="0014325A" w:rsidP="0014325A">
      <w:pPr>
        <w:pStyle w:val="COL5--Bodycopy"/>
        <w:numPr>
          <w:ilvl w:val="0"/>
          <w:numId w:val="3"/>
        </w:numPr>
        <w:spacing w:after="120"/>
        <w:rPr>
          <w:lang w:val="pl-PL"/>
        </w:rPr>
      </w:pPr>
      <w:r>
        <w:rPr>
          <w:lang w:val="pl-PL"/>
        </w:rPr>
        <w:t>W ciągu czterech kwartałów na rynek dostarczono ponad 396 tys. m</w:t>
      </w:r>
      <w:r w:rsidRPr="005F19D7">
        <w:rPr>
          <w:vertAlign w:val="superscript"/>
          <w:lang w:val="pl-PL"/>
        </w:rPr>
        <w:t>2</w:t>
      </w:r>
      <w:r>
        <w:rPr>
          <w:lang w:val="pl-PL"/>
        </w:rPr>
        <w:t xml:space="preserve"> nowoczesnej powierzchni magazynowej, co stanowi ok. 5,4% wzrostu w porównaniu ze stanem z końca grudnia 2012</w:t>
      </w:r>
      <w:r w:rsidR="001961C5">
        <w:rPr>
          <w:lang w:val="pl-PL"/>
        </w:rPr>
        <w:t xml:space="preserve"> </w:t>
      </w:r>
      <w:r>
        <w:rPr>
          <w:lang w:val="pl-PL"/>
        </w:rPr>
        <w:t>r</w:t>
      </w:r>
      <w:r w:rsidRPr="008D1493">
        <w:rPr>
          <w:lang w:val="pl-PL"/>
        </w:rPr>
        <w:t>.</w:t>
      </w:r>
    </w:p>
    <w:p w:rsidR="0014325A" w:rsidRPr="008D1493" w:rsidRDefault="0014325A" w:rsidP="0014325A">
      <w:pPr>
        <w:pStyle w:val="COL5--Bodycopy"/>
        <w:numPr>
          <w:ilvl w:val="0"/>
          <w:numId w:val="3"/>
        </w:numPr>
        <w:spacing w:after="120"/>
        <w:rPr>
          <w:lang w:val="pl-PL"/>
        </w:rPr>
      </w:pPr>
      <w:r>
        <w:rPr>
          <w:lang w:val="pl-PL"/>
        </w:rPr>
        <w:t>Na koniec grudnia 2013 r</w:t>
      </w:r>
      <w:r w:rsidRPr="008D1493">
        <w:rPr>
          <w:lang w:val="pl-PL"/>
        </w:rPr>
        <w:t>.</w:t>
      </w:r>
      <w:r>
        <w:rPr>
          <w:lang w:val="pl-PL"/>
        </w:rPr>
        <w:t xml:space="preserve"> całkowite zasoby nowoczesnej powierzchni m</w:t>
      </w:r>
      <w:r w:rsidR="00C04079">
        <w:rPr>
          <w:lang w:val="pl-PL"/>
        </w:rPr>
        <w:t>agazynowej w Polsce wyniosły 7,</w:t>
      </w:r>
      <w:r>
        <w:rPr>
          <w:lang w:val="pl-PL"/>
        </w:rPr>
        <w:t>76 mln m</w:t>
      </w:r>
      <w:r w:rsidRPr="005F19D7">
        <w:rPr>
          <w:vertAlign w:val="superscript"/>
          <w:lang w:val="pl-PL"/>
        </w:rPr>
        <w:t>2</w:t>
      </w:r>
      <w:r>
        <w:rPr>
          <w:lang w:val="pl-PL"/>
        </w:rPr>
        <w:t>.</w:t>
      </w:r>
    </w:p>
    <w:p w:rsidR="0014325A" w:rsidRDefault="0014325A" w:rsidP="0014325A">
      <w:pPr>
        <w:pStyle w:val="COL5--Bodycopy"/>
        <w:numPr>
          <w:ilvl w:val="0"/>
          <w:numId w:val="3"/>
        </w:numPr>
        <w:spacing w:after="120"/>
        <w:rPr>
          <w:lang w:val="pl-PL"/>
        </w:rPr>
      </w:pPr>
      <w:r>
        <w:rPr>
          <w:lang w:val="pl-PL"/>
        </w:rPr>
        <w:t>Wolumen transakcji w 2013 r. osiągnął poziom blisko 2,24 mln m</w:t>
      </w:r>
      <w:r w:rsidRPr="00E80DF5">
        <w:rPr>
          <w:vertAlign w:val="superscript"/>
          <w:lang w:val="pl-PL"/>
        </w:rPr>
        <w:t>2</w:t>
      </w:r>
      <w:r>
        <w:rPr>
          <w:lang w:val="pl-PL"/>
        </w:rPr>
        <w:t xml:space="preserve"> i był o ok. 32% wyższy niż w 2012 roku.</w:t>
      </w:r>
    </w:p>
    <w:p w:rsidR="0014325A" w:rsidRPr="008D1493" w:rsidRDefault="0014325A" w:rsidP="0014325A">
      <w:pPr>
        <w:pStyle w:val="COL5--Bodycopy"/>
        <w:numPr>
          <w:ilvl w:val="0"/>
          <w:numId w:val="3"/>
        </w:numPr>
        <w:spacing w:after="120"/>
        <w:rPr>
          <w:lang w:val="pl-PL"/>
        </w:rPr>
      </w:pPr>
      <w:r>
        <w:rPr>
          <w:lang w:val="pl-PL"/>
        </w:rPr>
        <w:t xml:space="preserve">W ciągu ostatnich </w:t>
      </w:r>
      <w:r w:rsidRPr="008D1493">
        <w:rPr>
          <w:lang w:val="pl-PL"/>
        </w:rPr>
        <w:t xml:space="preserve"> </w:t>
      </w:r>
      <w:r>
        <w:rPr>
          <w:lang w:val="pl-PL"/>
        </w:rPr>
        <w:t>dwunastu miesięcy na większości rynków nie zaobserwowano większych zmian stawek czynszów. Niewielki wzrost odnotowano na rynkach charakteryzujących się stosunkowo niskim poziomem wskaźników pustostanów oraz dużym popytem.</w:t>
      </w:r>
    </w:p>
    <w:p w:rsidR="0014325A" w:rsidRDefault="0014325A" w:rsidP="0014325A">
      <w:pPr>
        <w:pStyle w:val="COL5--Bodycopy"/>
        <w:spacing w:after="120"/>
        <w:rPr>
          <w:lang w:val="pl-PL"/>
        </w:rPr>
      </w:pPr>
    </w:p>
    <w:p w:rsidR="0014325A" w:rsidRDefault="0014325A" w:rsidP="0014325A">
      <w:pPr>
        <w:pStyle w:val="COL5--Bodycopy"/>
        <w:spacing w:after="120"/>
        <w:rPr>
          <w:lang w:val="pl-PL"/>
        </w:rPr>
      </w:pPr>
      <w:r>
        <w:rPr>
          <w:lang w:val="pl-PL"/>
        </w:rPr>
        <w:t>P</w:t>
      </w:r>
      <w:r w:rsidRPr="00634CD6">
        <w:rPr>
          <w:lang w:val="pl-PL"/>
        </w:rPr>
        <w:t>ODAŻ</w:t>
      </w:r>
    </w:p>
    <w:p w:rsidR="0014325A" w:rsidRDefault="0014325A" w:rsidP="0014325A">
      <w:pPr>
        <w:pStyle w:val="COL5--Bodycopy"/>
        <w:spacing w:after="120"/>
        <w:rPr>
          <w:lang w:val="pl-PL"/>
        </w:rPr>
      </w:pPr>
      <w:r>
        <w:rPr>
          <w:lang w:val="pl-PL"/>
        </w:rPr>
        <w:t>Rok 2013 charakteryzował się niższą dynamiką podaży</w:t>
      </w:r>
      <w:r w:rsidR="00C04079">
        <w:rPr>
          <w:lang w:val="pl-PL"/>
        </w:rPr>
        <w:t>,</w:t>
      </w:r>
      <w:r>
        <w:rPr>
          <w:lang w:val="pl-PL"/>
        </w:rPr>
        <w:t xml:space="preserve"> niż rok poprzedni.</w:t>
      </w:r>
    </w:p>
    <w:p w:rsidR="0014325A" w:rsidRPr="0014325A" w:rsidRDefault="0014325A" w:rsidP="0014325A">
      <w:pPr>
        <w:pStyle w:val="COL5--Bodycopy"/>
        <w:numPr>
          <w:ilvl w:val="0"/>
          <w:numId w:val="4"/>
        </w:numPr>
        <w:spacing w:after="120"/>
        <w:rPr>
          <w:color w:val="383838" w:themeColor="text1" w:themeShade="BF"/>
          <w:lang w:val="pl-PL"/>
        </w:rPr>
      </w:pPr>
      <w:r w:rsidRPr="0014325A">
        <w:rPr>
          <w:b/>
          <w:bCs/>
          <w:color w:val="383838" w:themeColor="text1" w:themeShade="BF"/>
          <w:lang w:val="pl-PL"/>
        </w:rPr>
        <w:t>Warszawa</w:t>
      </w:r>
      <w:r w:rsidRPr="0014325A">
        <w:rPr>
          <w:color w:val="383838" w:themeColor="text1" w:themeShade="BF"/>
          <w:lang w:val="pl-PL"/>
        </w:rPr>
        <w:t xml:space="preserve"> – na koniec IV kwartału 2013 łączna podaż nowoczesnej powierzchni magazynowej w trzech strefach miasta przekroczyła 2,72 mln m</w:t>
      </w:r>
      <w:r w:rsidRPr="0014325A">
        <w:rPr>
          <w:color w:val="383838" w:themeColor="text1" w:themeShade="BF"/>
          <w:vertAlign w:val="superscript"/>
          <w:lang w:val="pl-PL"/>
        </w:rPr>
        <w:t>2</w:t>
      </w:r>
      <w:r w:rsidRPr="0014325A">
        <w:rPr>
          <w:color w:val="383838" w:themeColor="text1" w:themeShade="BF"/>
          <w:lang w:val="pl-PL"/>
        </w:rPr>
        <w:t xml:space="preserve">, z czego większość została dostarczona w strefie II. Współczynnik dostępnych powierzchni we wszystkich strefach wyniósł 14%, wzrastając o 2,3 punktów procentowych w porównaniu do roku ubiegłego. </w:t>
      </w:r>
    </w:p>
    <w:p w:rsidR="0014325A" w:rsidRPr="0014325A" w:rsidRDefault="0014325A" w:rsidP="0014325A">
      <w:pPr>
        <w:pStyle w:val="COL5--Bodycopy"/>
        <w:numPr>
          <w:ilvl w:val="0"/>
          <w:numId w:val="4"/>
        </w:numPr>
        <w:spacing w:after="120"/>
        <w:rPr>
          <w:color w:val="383838" w:themeColor="text1" w:themeShade="BF"/>
          <w:lang w:val="pl-PL"/>
        </w:rPr>
      </w:pPr>
      <w:r w:rsidRPr="0014325A">
        <w:rPr>
          <w:b/>
          <w:bCs/>
          <w:color w:val="383838" w:themeColor="text1" w:themeShade="BF"/>
          <w:lang w:val="pl-PL"/>
        </w:rPr>
        <w:t xml:space="preserve">Górny Śląsk </w:t>
      </w:r>
      <w:r w:rsidRPr="0014325A">
        <w:rPr>
          <w:color w:val="383838" w:themeColor="text1" w:themeShade="BF"/>
          <w:lang w:val="pl-PL"/>
        </w:rPr>
        <w:t>– to drugi pod względem całkowitej podaży rynek magazynowy w Polsce o ok. 1,49 mln m</w:t>
      </w:r>
      <w:r w:rsidRPr="0014325A">
        <w:rPr>
          <w:color w:val="383838" w:themeColor="text1" w:themeShade="BF"/>
          <w:vertAlign w:val="superscript"/>
          <w:lang w:val="pl-PL"/>
        </w:rPr>
        <w:t>2</w:t>
      </w:r>
      <w:r w:rsidRPr="0014325A">
        <w:rPr>
          <w:color w:val="383838" w:themeColor="text1" w:themeShade="BF"/>
          <w:lang w:val="pl-PL"/>
        </w:rPr>
        <w:t>. W ciągu 2013 roku dostarczono 8 projektów o powierzchni ok. 91 tys. m</w:t>
      </w:r>
      <w:r w:rsidRPr="0014325A">
        <w:rPr>
          <w:color w:val="383838" w:themeColor="text1" w:themeShade="BF"/>
          <w:vertAlign w:val="superscript"/>
          <w:lang w:val="pl-PL"/>
        </w:rPr>
        <w:t>2</w:t>
      </w:r>
      <w:r w:rsidRPr="0014325A">
        <w:rPr>
          <w:color w:val="383838" w:themeColor="text1" w:themeShade="BF"/>
          <w:lang w:val="pl-PL"/>
        </w:rPr>
        <w:t>. W budowie znajduje się kolejne 27 tys. m</w:t>
      </w:r>
      <w:r w:rsidRPr="0014325A">
        <w:rPr>
          <w:color w:val="383838" w:themeColor="text1" w:themeShade="BF"/>
          <w:vertAlign w:val="superscript"/>
          <w:lang w:val="pl-PL"/>
        </w:rPr>
        <w:t>2</w:t>
      </w:r>
      <w:r w:rsidRPr="0014325A">
        <w:rPr>
          <w:color w:val="383838" w:themeColor="text1" w:themeShade="BF"/>
          <w:lang w:val="pl-PL"/>
        </w:rPr>
        <w:t xml:space="preserve">.  </w:t>
      </w:r>
    </w:p>
    <w:p w:rsidR="0014325A" w:rsidRPr="0014325A" w:rsidRDefault="0014325A" w:rsidP="0014325A">
      <w:pPr>
        <w:pStyle w:val="COL5--Bodycopy"/>
        <w:numPr>
          <w:ilvl w:val="0"/>
          <w:numId w:val="4"/>
        </w:numPr>
        <w:spacing w:after="120"/>
        <w:rPr>
          <w:color w:val="383838" w:themeColor="text1" w:themeShade="BF"/>
          <w:lang w:val="pl-PL"/>
        </w:rPr>
      </w:pPr>
      <w:r w:rsidRPr="0014325A">
        <w:rPr>
          <w:b/>
          <w:bCs/>
          <w:color w:val="383838" w:themeColor="text1" w:themeShade="BF"/>
          <w:lang w:val="pl-PL"/>
        </w:rPr>
        <w:t xml:space="preserve">Polska Centralna </w:t>
      </w:r>
      <w:r w:rsidRPr="0014325A">
        <w:rPr>
          <w:color w:val="383838" w:themeColor="text1" w:themeShade="BF"/>
          <w:lang w:val="pl-PL"/>
        </w:rPr>
        <w:t>– w ciągu 2013 r. podaż nowoczesnej powierzchni magazynowej wzrosła o 27,5 tys. m</w:t>
      </w:r>
      <w:r w:rsidRPr="0014325A">
        <w:rPr>
          <w:color w:val="383838" w:themeColor="text1" w:themeShade="BF"/>
          <w:vertAlign w:val="superscript"/>
          <w:lang w:val="pl-PL"/>
        </w:rPr>
        <w:t>2</w:t>
      </w:r>
      <w:r w:rsidRPr="0014325A">
        <w:rPr>
          <w:color w:val="383838" w:themeColor="text1" w:themeShade="BF"/>
          <w:lang w:val="pl-PL"/>
        </w:rPr>
        <w:t xml:space="preserve">, które zostały dostarczone w ramach rozbudowy </w:t>
      </w:r>
      <w:proofErr w:type="spellStart"/>
      <w:r w:rsidRPr="0014325A">
        <w:rPr>
          <w:color w:val="383838" w:themeColor="text1" w:themeShade="BF"/>
          <w:lang w:val="pl-PL"/>
        </w:rPr>
        <w:t>Panattoni</w:t>
      </w:r>
      <w:proofErr w:type="spellEnd"/>
      <w:r w:rsidRPr="0014325A">
        <w:rPr>
          <w:color w:val="383838" w:themeColor="text1" w:themeShade="BF"/>
          <w:lang w:val="pl-PL"/>
        </w:rPr>
        <w:t xml:space="preserve"> Park Łódź (8 tys. m</w:t>
      </w:r>
      <w:r w:rsidRPr="0014325A">
        <w:rPr>
          <w:color w:val="383838" w:themeColor="text1" w:themeShade="BF"/>
          <w:vertAlign w:val="superscript"/>
          <w:lang w:val="pl-PL"/>
        </w:rPr>
        <w:t>2</w:t>
      </w:r>
      <w:r w:rsidRPr="0014325A">
        <w:rPr>
          <w:color w:val="383838" w:themeColor="text1" w:themeShade="BF"/>
          <w:lang w:val="pl-PL"/>
        </w:rPr>
        <w:t xml:space="preserve">) oraz SEGRO </w:t>
      </w:r>
      <w:proofErr w:type="spellStart"/>
      <w:r w:rsidRPr="0014325A">
        <w:rPr>
          <w:color w:val="383838" w:themeColor="text1" w:themeShade="BF"/>
          <w:lang w:val="pl-PL"/>
        </w:rPr>
        <w:t>Logistic</w:t>
      </w:r>
      <w:proofErr w:type="spellEnd"/>
      <w:r w:rsidRPr="0014325A">
        <w:rPr>
          <w:color w:val="383838" w:themeColor="text1" w:themeShade="BF"/>
          <w:lang w:val="pl-PL"/>
        </w:rPr>
        <w:t xml:space="preserve"> Park Stryków (19,5 tys. m</w:t>
      </w:r>
      <w:r w:rsidRPr="0014325A">
        <w:rPr>
          <w:color w:val="383838" w:themeColor="text1" w:themeShade="BF"/>
          <w:vertAlign w:val="superscript"/>
          <w:lang w:val="pl-PL"/>
        </w:rPr>
        <w:t>2</w:t>
      </w:r>
      <w:r w:rsidRPr="0014325A">
        <w:rPr>
          <w:color w:val="383838" w:themeColor="text1" w:themeShade="BF"/>
          <w:lang w:val="pl-PL"/>
        </w:rPr>
        <w:t xml:space="preserve">)  </w:t>
      </w:r>
    </w:p>
    <w:p w:rsidR="0014325A" w:rsidRPr="0014325A" w:rsidRDefault="0014325A" w:rsidP="0014325A">
      <w:pPr>
        <w:pStyle w:val="COL5--Bodycopy"/>
        <w:numPr>
          <w:ilvl w:val="0"/>
          <w:numId w:val="4"/>
        </w:numPr>
        <w:spacing w:after="120"/>
        <w:rPr>
          <w:color w:val="383838" w:themeColor="text1" w:themeShade="BF"/>
          <w:lang w:val="pl-PL"/>
        </w:rPr>
      </w:pPr>
      <w:r w:rsidRPr="0014325A">
        <w:rPr>
          <w:b/>
          <w:bCs/>
          <w:color w:val="383838" w:themeColor="text1" w:themeShade="BF"/>
          <w:lang w:val="pl-PL"/>
        </w:rPr>
        <w:lastRenderedPageBreak/>
        <w:t>Poznań</w:t>
      </w:r>
      <w:r w:rsidRPr="0014325A">
        <w:rPr>
          <w:color w:val="383838" w:themeColor="text1" w:themeShade="BF"/>
          <w:lang w:val="pl-PL"/>
        </w:rPr>
        <w:t xml:space="preserve"> – całkowita podaż nowoczesnej powierzchni magazynowej przekroczyła 910 tys. m</w:t>
      </w:r>
      <w:r w:rsidRPr="0014325A">
        <w:rPr>
          <w:color w:val="383838" w:themeColor="text1" w:themeShade="BF"/>
          <w:vertAlign w:val="superscript"/>
          <w:lang w:val="pl-PL"/>
        </w:rPr>
        <w:t>2</w:t>
      </w:r>
      <w:r w:rsidRPr="0014325A">
        <w:rPr>
          <w:color w:val="383838" w:themeColor="text1" w:themeShade="BF"/>
          <w:lang w:val="pl-PL"/>
        </w:rPr>
        <w:t>. Obecnie w budowie znajduje się jeszcze sześć projektów o łącznej powierzchni ponad 217 tys. m</w:t>
      </w:r>
      <w:r w:rsidRPr="0014325A">
        <w:rPr>
          <w:color w:val="383838" w:themeColor="text1" w:themeShade="BF"/>
          <w:vertAlign w:val="superscript"/>
          <w:lang w:val="pl-PL"/>
        </w:rPr>
        <w:t>2</w:t>
      </w:r>
      <w:r w:rsidRPr="0014325A">
        <w:rPr>
          <w:color w:val="383838" w:themeColor="text1" w:themeShade="BF"/>
          <w:lang w:val="pl-PL"/>
        </w:rPr>
        <w:t xml:space="preserve">. Największym z nich jest kompleks magazynowy budowany przez </w:t>
      </w:r>
      <w:proofErr w:type="spellStart"/>
      <w:r w:rsidRPr="0014325A">
        <w:rPr>
          <w:color w:val="383838" w:themeColor="text1" w:themeShade="BF"/>
          <w:lang w:val="pl-PL"/>
        </w:rPr>
        <w:t>Panattoni</w:t>
      </w:r>
      <w:proofErr w:type="spellEnd"/>
      <w:r w:rsidRPr="0014325A">
        <w:rPr>
          <w:color w:val="383838" w:themeColor="text1" w:themeShade="BF"/>
          <w:lang w:val="pl-PL"/>
        </w:rPr>
        <w:t xml:space="preserve"> dla firmy Amazon. </w:t>
      </w:r>
    </w:p>
    <w:p w:rsidR="0014325A" w:rsidRPr="0014325A" w:rsidRDefault="0014325A" w:rsidP="0014325A">
      <w:pPr>
        <w:pStyle w:val="COL5--Bodycopy"/>
        <w:numPr>
          <w:ilvl w:val="0"/>
          <w:numId w:val="4"/>
        </w:numPr>
        <w:spacing w:after="120"/>
        <w:rPr>
          <w:color w:val="383838" w:themeColor="text1" w:themeShade="BF"/>
          <w:lang w:val="pl-PL"/>
        </w:rPr>
      </w:pPr>
      <w:r w:rsidRPr="0014325A">
        <w:rPr>
          <w:b/>
          <w:bCs/>
          <w:color w:val="383838" w:themeColor="text1" w:themeShade="BF"/>
          <w:lang w:val="pl-PL"/>
        </w:rPr>
        <w:t>Wrocław</w:t>
      </w:r>
      <w:r w:rsidRPr="0014325A">
        <w:rPr>
          <w:color w:val="383838" w:themeColor="text1" w:themeShade="BF"/>
          <w:lang w:val="pl-PL"/>
        </w:rPr>
        <w:t xml:space="preserve"> – na koniec grudnia 2013 r. całkowita podaż wyniosła 826 tys. m</w:t>
      </w:r>
      <w:r w:rsidRPr="0014325A">
        <w:rPr>
          <w:color w:val="383838" w:themeColor="text1" w:themeShade="BF"/>
          <w:vertAlign w:val="superscript"/>
          <w:lang w:val="pl-PL"/>
        </w:rPr>
        <w:t>2</w:t>
      </w:r>
      <w:r w:rsidRPr="0014325A">
        <w:rPr>
          <w:color w:val="383838" w:themeColor="text1" w:themeShade="BF"/>
          <w:lang w:val="pl-PL"/>
        </w:rPr>
        <w:t>. Do użytku zostało oddane ok. 105 tys. m</w:t>
      </w:r>
      <w:r w:rsidRPr="0014325A">
        <w:rPr>
          <w:color w:val="383838" w:themeColor="text1" w:themeShade="BF"/>
          <w:vertAlign w:val="superscript"/>
          <w:lang w:val="pl-PL"/>
        </w:rPr>
        <w:t>2</w:t>
      </w:r>
      <w:r w:rsidRPr="0014325A">
        <w:rPr>
          <w:color w:val="383838" w:themeColor="text1" w:themeShade="BF"/>
          <w:lang w:val="pl-PL"/>
        </w:rPr>
        <w:t>. Współczynnik dostępnych powierzchni wyniósł 10,5%. W budowie w ramach trzech projektów znajduje się  jeszcze 259 tys. m</w:t>
      </w:r>
      <w:r w:rsidRPr="0014325A">
        <w:rPr>
          <w:color w:val="383838" w:themeColor="text1" w:themeShade="BF"/>
          <w:vertAlign w:val="superscript"/>
          <w:lang w:val="pl-PL"/>
        </w:rPr>
        <w:t>2</w:t>
      </w:r>
      <w:r w:rsidRPr="0014325A">
        <w:rPr>
          <w:color w:val="383838" w:themeColor="text1" w:themeShade="BF"/>
          <w:lang w:val="pl-PL"/>
        </w:rPr>
        <w:t>.</w:t>
      </w:r>
    </w:p>
    <w:p w:rsidR="0014325A" w:rsidRPr="0014325A" w:rsidRDefault="0014325A" w:rsidP="0014325A">
      <w:pPr>
        <w:pStyle w:val="COL5--Bodycopy"/>
        <w:numPr>
          <w:ilvl w:val="0"/>
          <w:numId w:val="4"/>
        </w:numPr>
        <w:spacing w:after="120"/>
        <w:rPr>
          <w:color w:val="383838" w:themeColor="text1" w:themeShade="BF"/>
          <w:lang w:val="pl-PL"/>
        </w:rPr>
      </w:pPr>
      <w:r w:rsidRPr="0014325A">
        <w:rPr>
          <w:b/>
          <w:bCs/>
          <w:color w:val="383838" w:themeColor="text1" w:themeShade="BF"/>
          <w:lang w:val="pl-PL"/>
        </w:rPr>
        <w:t>Gdańsk</w:t>
      </w:r>
      <w:r w:rsidRPr="0014325A">
        <w:rPr>
          <w:color w:val="383838" w:themeColor="text1" w:themeShade="BF"/>
          <w:lang w:val="pl-PL"/>
        </w:rPr>
        <w:t xml:space="preserve"> –. na tym rynku całkowita podaż powier</w:t>
      </w:r>
      <w:r w:rsidR="00C04079">
        <w:rPr>
          <w:color w:val="383838" w:themeColor="text1" w:themeShade="BF"/>
          <w:lang w:val="pl-PL"/>
        </w:rPr>
        <w:t>zchni magazynowej wzrosła o 20,</w:t>
      </w:r>
      <w:r w:rsidRPr="0014325A">
        <w:rPr>
          <w:color w:val="383838" w:themeColor="text1" w:themeShade="BF"/>
          <w:lang w:val="pl-PL"/>
        </w:rPr>
        <w:t>7 tys. m</w:t>
      </w:r>
      <w:r w:rsidRPr="0014325A">
        <w:rPr>
          <w:color w:val="383838" w:themeColor="text1" w:themeShade="BF"/>
          <w:vertAlign w:val="superscript"/>
          <w:lang w:val="pl-PL"/>
        </w:rPr>
        <w:t>2</w:t>
      </w:r>
      <w:r w:rsidRPr="0014325A">
        <w:rPr>
          <w:color w:val="383838" w:themeColor="text1" w:themeShade="BF"/>
          <w:lang w:val="pl-PL"/>
        </w:rPr>
        <w:t>, osiągając poziom blisko 203,6 tys. m</w:t>
      </w:r>
      <w:r w:rsidRPr="0014325A">
        <w:rPr>
          <w:color w:val="383838" w:themeColor="text1" w:themeShade="BF"/>
          <w:vertAlign w:val="superscript"/>
          <w:lang w:val="pl-PL"/>
        </w:rPr>
        <w:t>2</w:t>
      </w:r>
      <w:r w:rsidRPr="0014325A">
        <w:rPr>
          <w:color w:val="383838" w:themeColor="text1" w:themeShade="BF"/>
          <w:lang w:val="pl-PL"/>
        </w:rPr>
        <w:t xml:space="preserve">. Obecnie w budowie znajduje się jeden projekt – SEGRO </w:t>
      </w:r>
      <w:proofErr w:type="spellStart"/>
      <w:r w:rsidRPr="0014325A">
        <w:rPr>
          <w:color w:val="383838" w:themeColor="text1" w:themeShade="BF"/>
          <w:lang w:val="pl-PL"/>
        </w:rPr>
        <w:t>Logistic</w:t>
      </w:r>
      <w:proofErr w:type="spellEnd"/>
      <w:r w:rsidRPr="0014325A">
        <w:rPr>
          <w:color w:val="383838" w:themeColor="text1" w:themeShade="BF"/>
          <w:lang w:val="pl-PL"/>
        </w:rPr>
        <w:t xml:space="preserve"> Park o powierzchni 24,5 tys. m</w:t>
      </w:r>
      <w:r w:rsidRPr="0014325A">
        <w:rPr>
          <w:color w:val="383838" w:themeColor="text1" w:themeShade="BF"/>
          <w:vertAlign w:val="superscript"/>
          <w:lang w:val="pl-PL"/>
        </w:rPr>
        <w:t>2</w:t>
      </w:r>
      <w:r w:rsidRPr="0014325A">
        <w:rPr>
          <w:color w:val="383838" w:themeColor="text1" w:themeShade="BF"/>
          <w:lang w:val="pl-PL"/>
        </w:rPr>
        <w:t>.</w:t>
      </w:r>
    </w:p>
    <w:p w:rsidR="0014325A" w:rsidRPr="0014325A" w:rsidRDefault="0014325A" w:rsidP="0014325A">
      <w:pPr>
        <w:pStyle w:val="COL5--Bodycopy"/>
        <w:numPr>
          <w:ilvl w:val="0"/>
          <w:numId w:val="4"/>
        </w:numPr>
        <w:spacing w:after="120"/>
        <w:rPr>
          <w:color w:val="383838" w:themeColor="text1" w:themeShade="BF"/>
          <w:lang w:val="pl-PL"/>
        </w:rPr>
      </w:pPr>
      <w:r w:rsidRPr="0014325A">
        <w:rPr>
          <w:b/>
          <w:bCs/>
          <w:color w:val="383838" w:themeColor="text1" w:themeShade="BF"/>
          <w:lang w:val="pl-PL"/>
        </w:rPr>
        <w:t xml:space="preserve">Kraków </w:t>
      </w:r>
      <w:r w:rsidRPr="0014325A">
        <w:rPr>
          <w:color w:val="383838" w:themeColor="text1" w:themeShade="BF"/>
          <w:lang w:val="pl-PL"/>
        </w:rPr>
        <w:t xml:space="preserve">– w stosunku do 2012 r. podaż nowoczesnych powierzchni magazynowych wzrosła w minionym roku o ponad 21 tys. m2, osiągając poziom 160, 5 tys. m2. Obecnie nie ma żadnych inwestycji w budowie.   </w:t>
      </w:r>
    </w:p>
    <w:p w:rsidR="0014325A" w:rsidRPr="0014325A" w:rsidRDefault="0014325A" w:rsidP="0014325A">
      <w:pPr>
        <w:pStyle w:val="COL5--Bodycopy"/>
        <w:numPr>
          <w:ilvl w:val="0"/>
          <w:numId w:val="4"/>
        </w:numPr>
        <w:spacing w:after="120"/>
        <w:rPr>
          <w:color w:val="383838" w:themeColor="text1" w:themeShade="BF"/>
          <w:lang w:val="pl-PL"/>
        </w:rPr>
      </w:pPr>
      <w:r w:rsidRPr="0014325A">
        <w:rPr>
          <w:b/>
          <w:bCs/>
          <w:color w:val="383838" w:themeColor="text1" w:themeShade="BF"/>
          <w:lang w:val="pl-PL"/>
        </w:rPr>
        <w:t xml:space="preserve">Toruń / Bydgoszcz </w:t>
      </w:r>
      <w:r w:rsidRPr="0014325A">
        <w:rPr>
          <w:color w:val="383838" w:themeColor="text1" w:themeShade="BF"/>
          <w:lang w:val="pl-PL"/>
        </w:rPr>
        <w:t>–zasoby nowoczesnej powierzchni magazynowej wzrosły o 14 tys. m2, dostarczonych w ramach modernizacji istniejącego obiektu. Obecnie, po</w:t>
      </w:r>
      <w:r w:rsidR="00C04079">
        <w:rPr>
          <w:color w:val="383838" w:themeColor="text1" w:themeShade="BF"/>
          <w:lang w:val="pl-PL"/>
        </w:rPr>
        <w:t>dobnie jak na rynku krakowskim,</w:t>
      </w:r>
      <w:r w:rsidRPr="0014325A">
        <w:rPr>
          <w:color w:val="383838" w:themeColor="text1" w:themeShade="BF"/>
          <w:lang w:val="pl-PL"/>
        </w:rPr>
        <w:t xml:space="preserve"> nie ma żadnych projektów w budowie.</w:t>
      </w:r>
    </w:p>
    <w:p w:rsidR="0014325A" w:rsidRPr="0014325A" w:rsidRDefault="0014325A" w:rsidP="0014325A">
      <w:pPr>
        <w:pStyle w:val="COL5--Bodycopy"/>
        <w:numPr>
          <w:ilvl w:val="0"/>
          <w:numId w:val="4"/>
        </w:numPr>
        <w:spacing w:after="120"/>
        <w:rPr>
          <w:color w:val="383838" w:themeColor="text1" w:themeShade="BF"/>
          <w:lang w:val="pl-PL"/>
        </w:rPr>
      </w:pPr>
      <w:r w:rsidRPr="0014325A">
        <w:rPr>
          <w:b/>
          <w:bCs/>
          <w:color w:val="383838" w:themeColor="text1" w:themeShade="BF"/>
          <w:lang w:val="pl-PL"/>
        </w:rPr>
        <w:t>Szczecin</w:t>
      </w:r>
      <w:r w:rsidRPr="0014325A">
        <w:rPr>
          <w:color w:val="383838" w:themeColor="text1" w:themeShade="BF"/>
          <w:lang w:val="pl-PL"/>
        </w:rPr>
        <w:t xml:space="preserve"> – na ten najmniejszy pod względem istniejącej powierzchni rynek magazynowy w Polsce w 2013 r. dostarczono ok. 6,9 tys. m</w:t>
      </w:r>
      <w:r w:rsidRPr="0014325A">
        <w:rPr>
          <w:color w:val="383838" w:themeColor="text1" w:themeShade="BF"/>
          <w:vertAlign w:val="superscript"/>
          <w:lang w:val="pl-PL"/>
        </w:rPr>
        <w:t>2</w:t>
      </w:r>
      <w:r w:rsidRPr="0014325A">
        <w:rPr>
          <w:color w:val="383838" w:themeColor="text1" w:themeShade="BF"/>
          <w:lang w:val="pl-PL"/>
        </w:rPr>
        <w:t>, podnosząc łączną p</w:t>
      </w:r>
      <w:r w:rsidR="00C04079">
        <w:rPr>
          <w:color w:val="383838" w:themeColor="text1" w:themeShade="BF"/>
          <w:lang w:val="pl-PL"/>
        </w:rPr>
        <w:t>odaż powierzchni do poziomu 48,</w:t>
      </w:r>
      <w:r w:rsidRPr="0014325A">
        <w:rPr>
          <w:color w:val="383838" w:themeColor="text1" w:themeShade="BF"/>
          <w:lang w:val="pl-PL"/>
        </w:rPr>
        <w:t>7 tys. m</w:t>
      </w:r>
      <w:r w:rsidRPr="0014325A">
        <w:rPr>
          <w:color w:val="383838" w:themeColor="text1" w:themeShade="BF"/>
          <w:vertAlign w:val="superscript"/>
          <w:lang w:val="pl-PL"/>
        </w:rPr>
        <w:t>2</w:t>
      </w:r>
      <w:r w:rsidRPr="0014325A">
        <w:rPr>
          <w:color w:val="383838" w:themeColor="text1" w:themeShade="BF"/>
          <w:lang w:val="pl-PL"/>
        </w:rPr>
        <w:t xml:space="preserve">.  </w:t>
      </w:r>
    </w:p>
    <w:p w:rsidR="0014325A" w:rsidRPr="0014325A" w:rsidRDefault="0014325A" w:rsidP="0014325A">
      <w:pPr>
        <w:pStyle w:val="COL5--Bodycopy"/>
        <w:spacing w:after="120"/>
        <w:rPr>
          <w:color w:val="383838" w:themeColor="text1" w:themeShade="BF"/>
          <w:lang w:val="pl-PL"/>
        </w:rPr>
      </w:pPr>
      <w:r w:rsidRPr="0014325A">
        <w:rPr>
          <w:color w:val="383838" w:themeColor="text1" w:themeShade="BF"/>
          <w:lang w:val="pl-PL"/>
        </w:rPr>
        <w:t>POPYT</w:t>
      </w:r>
    </w:p>
    <w:p w:rsidR="0014325A" w:rsidRPr="0014325A" w:rsidRDefault="0014325A" w:rsidP="0014325A">
      <w:pPr>
        <w:pStyle w:val="COL5--Bodycopy"/>
        <w:numPr>
          <w:ilvl w:val="0"/>
          <w:numId w:val="5"/>
        </w:numPr>
        <w:spacing w:after="120"/>
        <w:rPr>
          <w:color w:val="383838" w:themeColor="text1" w:themeShade="BF"/>
          <w:lang w:val="pl-PL"/>
        </w:rPr>
      </w:pPr>
      <w:r w:rsidRPr="0014325A">
        <w:rPr>
          <w:b/>
          <w:bCs/>
          <w:color w:val="383838" w:themeColor="text1" w:themeShade="BF"/>
          <w:lang w:val="pl-PL"/>
        </w:rPr>
        <w:t xml:space="preserve">Warszawa </w:t>
      </w:r>
      <w:r w:rsidRPr="0014325A">
        <w:rPr>
          <w:color w:val="383838" w:themeColor="text1" w:themeShade="BF"/>
          <w:lang w:val="pl-PL"/>
        </w:rPr>
        <w:t xml:space="preserve">–w minionym roku trzy warszawskie strefy były najaktywniejszym rynkiem pod względem popytu - w sumie podpisano 179 umów najmu na ponad 553 tys. m2 powierzchni, z czego 76% znajdowało się w strefie II. </w:t>
      </w:r>
    </w:p>
    <w:p w:rsidR="0014325A" w:rsidRPr="0014325A" w:rsidRDefault="0014325A" w:rsidP="0014325A">
      <w:pPr>
        <w:pStyle w:val="COL5--Bodycopy"/>
        <w:numPr>
          <w:ilvl w:val="0"/>
          <w:numId w:val="5"/>
        </w:numPr>
        <w:spacing w:after="120"/>
        <w:rPr>
          <w:color w:val="383838" w:themeColor="text1" w:themeShade="BF"/>
          <w:lang w:val="pl-PL"/>
        </w:rPr>
      </w:pPr>
      <w:r w:rsidRPr="0014325A">
        <w:rPr>
          <w:b/>
          <w:bCs/>
          <w:color w:val="383838" w:themeColor="text1" w:themeShade="BF"/>
          <w:lang w:val="pl-PL"/>
        </w:rPr>
        <w:t xml:space="preserve">Górny Śląsk </w:t>
      </w:r>
      <w:r w:rsidRPr="0014325A">
        <w:rPr>
          <w:color w:val="383838" w:themeColor="text1" w:themeShade="BF"/>
          <w:lang w:val="pl-PL"/>
        </w:rPr>
        <w:t>– w analizowanym okresie popyt na powierzchnie magazynowe przekroczył 329 tys. m</w:t>
      </w:r>
      <w:r w:rsidRPr="0014325A">
        <w:rPr>
          <w:color w:val="383838" w:themeColor="text1" w:themeShade="BF"/>
          <w:vertAlign w:val="superscript"/>
          <w:lang w:val="pl-PL"/>
        </w:rPr>
        <w:t>2</w:t>
      </w:r>
      <w:r w:rsidRPr="0014325A">
        <w:rPr>
          <w:color w:val="383838" w:themeColor="text1" w:themeShade="BF"/>
          <w:lang w:val="pl-PL"/>
        </w:rPr>
        <w:t>, wynajętych w ramach 49 podpisanych umów. Ok. 56%</w:t>
      </w:r>
      <w:r w:rsidR="00515B87">
        <w:rPr>
          <w:color w:val="383838" w:themeColor="text1" w:themeShade="BF"/>
          <w:lang w:val="pl-PL"/>
        </w:rPr>
        <w:t xml:space="preserve"> </w:t>
      </w:r>
      <w:r w:rsidRPr="0014325A">
        <w:rPr>
          <w:color w:val="383838" w:themeColor="text1" w:themeShade="BF"/>
          <w:lang w:val="pl-PL"/>
        </w:rPr>
        <w:t>wolumenu transakcji stanowiły renegocjacje.</w:t>
      </w:r>
    </w:p>
    <w:p w:rsidR="0014325A" w:rsidRPr="0014325A" w:rsidRDefault="0014325A" w:rsidP="0014325A">
      <w:pPr>
        <w:pStyle w:val="COL5--Bodycopy"/>
        <w:numPr>
          <w:ilvl w:val="0"/>
          <w:numId w:val="5"/>
        </w:numPr>
        <w:spacing w:after="120"/>
        <w:rPr>
          <w:color w:val="383838" w:themeColor="text1" w:themeShade="BF"/>
          <w:lang w:val="pl-PL"/>
        </w:rPr>
      </w:pPr>
      <w:r w:rsidRPr="0014325A">
        <w:rPr>
          <w:b/>
          <w:bCs/>
          <w:color w:val="383838" w:themeColor="text1" w:themeShade="BF"/>
          <w:lang w:val="pl-PL"/>
        </w:rPr>
        <w:t xml:space="preserve">Polska Centralna </w:t>
      </w:r>
      <w:r w:rsidRPr="0014325A">
        <w:rPr>
          <w:color w:val="383838" w:themeColor="text1" w:themeShade="BF"/>
          <w:lang w:val="pl-PL"/>
        </w:rPr>
        <w:t>– na tym rynku popyt ukształtował się na poziomie ok. 254 tys. m</w:t>
      </w:r>
      <w:r w:rsidRPr="0014325A">
        <w:rPr>
          <w:color w:val="383838" w:themeColor="text1" w:themeShade="BF"/>
          <w:vertAlign w:val="superscript"/>
          <w:lang w:val="pl-PL"/>
        </w:rPr>
        <w:t>2</w:t>
      </w:r>
      <w:r w:rsidRPr="0014325A">
        <w:rPr>
          <w:color w:val="383838" w:themeColor="text1" w:themeShade="BF"/>
          <w:lang w:val="pl-PL"/>
        </w:rPr>
        <w:t>, wynajętych w ramach 29 umów. W przeciwieństwie do Górnego Śląska, wśród transakcji największy udział miały nowe umowy, które stanowiły 63% popytu.</w:t>
      </w:r>
    </w:p>
    <w:p w:rsidR="0014325A" w:rsidRPr="0014325A" w:rsidRDefault="0014325A" w:rsidP="0014325A">
      <w:pPr>
        <w:pStyle w:val="COL5--Bodycopy"/>
        <w:numPr>
          <w:ilvl w:val="0"/>
          <w:numId w:val="5"/>
        </w:numPr>
        <w:spacing w:after="120"/>
        <w:rPr>
          <w:color w:val="383838" w:themeColor="text1" w:themeShade="BF"/>
          <w:lang w:val="pl-PL"/>
        </w:rPr>
      </w:pPr>
      <w:r w:rsidRPr="0014325A">
        <w:rPr>
          <w:b/>
          <w:bCs/>
          <w:color w:val="383838" w:themeColor="text1" w:themeShade="BF"/>
          <w:lang w:val="pl-PL"/>
        </w:rPr>
        <w:t xml:space="preserve">Poznań </w:t>
      </w:r>
      <w:r w:rsidRPr="0014325A">
        <w:rPr>
          <w:color w:val="383838" w:themeColor="text1" w:themeShade="BF"/>
          <w:lang w:val="pl-PL"/>
        </w:rPr>
        <w:t>– w ramach 36 podpisanych umów wynajęte zostało ponad 429 tys. m</w:t>
      </w:r>
      <w:r w:rsidRPr="0014325A">
        <w:rPr>
          <w:color w:val="383838" w:themeColor="text1" w:themeShade="BF"/>
          <w:vertAlign w:val="superscript"/>
          <w:lang w:val="pl-PL"/>
        </w:rPr>
        <w:t>2</w:t>
      </w:r>
      <w:r w:rsidRPr="0014325A">
        <w:rPr>
          <w:color w:val="383838" w:themeColor="text1" w:themeShade="BF"/>
          <w:lang w:val="pl-PL"/>
        </w:rPr>
        <w:t xml:space="preserve">. Miniony rok charakteryzował się znaczną liczbą transakcją typu BTS, które stanowiły 56% wolumenu. Poznański rynek magazynowy cieszy się drugim najniższym poziomem wskaźnika powierzchni niewynajętej w Polsce – na koniec grudnia 2013 r. wyniósł 4,6%. </w:t>
      </w:r>
    </w:p>
    <w:p w:rsidR="0014325A" w:rsidRPr="0014325A" w:rsidRDefault="0014325A" w:rsidP="0014325A">
      <w:pPr>
        <w:pStyle w:val="COL5--Bodycopy"/>
        <w:numPr>
          <w:ilvl w:val="0"/>
          <w:numId w:val="5"/>
        </w:numPr>
        <w:spacing w:after="120"/>
        <w:rPr>
          <w:color w:val="383838" w:themeColor="text1" w:themeShade="BF"/>
          <w:lang w:val="pl-PL"/>
        </w:rPr>
      </w:pPr>
      <w:r w:rsidRPr="0014325A">
        <w:rPr>
          <w:b/>
          <w:bCs/>
          <w:color w:val="383838" w:themeColor="text1" w:themeShade="BF"/>
          <w:lang w:val="pl-PL"/>
        </w:rPr>
        <w:t xml:space="preserve">Wrocław </w:t>
      </w:r>
      <w:r w:rsidRPr="0014325A">
        <w:rPr>
          <w:color w:val="383838" w:themeColor="text1" w:themeShade="BF"/>
          <w:lang w:val="pl-PL"/>
        </w:rPr>
        <w:t>–</w:t>
      </w:r>
      <w:r w:rsidR="00515B87">
        <w:rPr>
          <w:color w:val="383838" w:themeColor="text1" w:themeShade="BF"/>
          <w:lang w:val="pl-PL"/>
        </w:rPr>
        <w:t xml:space="preserve"> </w:t>
      </w:r>
      <w:r w:rsidRPr="0014325A">
        <w:rPr>
          <w:color w:val="383838" w:themeColor="text1" w:themeShade="BF"/>
          <w:lang w:val="pl-PL"/>
        </w:rPr>
        <w:t>wolumen transakcji zawartych w całym 2013 r. przekroczył 458 tys. m</w:t>
      </w:r>
      <w:r w:rsidRPr="0014325A">
        <w:rPr>
          <w:color w:val="383838" w:themeColor="text1" w:themeShade="BF"/>
          <w:vertAlign w:val="superscript"/>
          <w:lang w:val="pl-PL"/>
        </w:rPr>
        <w:t>2</w:t>
      </w:r>
      <w:r w:rsidRPr="0014325A">
        <w:rPr>
          <w:color w:val="383838" w:themeColor="text1" w:themeShade="BF"/>
          <w:lang w:val="pl-PL"/>
        </w:rPr>
        <w:t>, z czego 60% zostało wynajęte w czwartym kwartale</w:t>
      </w:r>
      <w:r w:rsidR="00515B87">
        <w:rPr>
          <w:color w:val="383838" w:themeColor="text1" w:themeShade="BF"/>
          <w:lang w:val="pl-PL"/>
        </w:rPr>
        <w:t>.</w:t>
      </w:r>
      <w:r w:rsidRPr="0014325A">
        <w:rPr>
          <w:color w:val="383838" w:themeColor="text1" w:themeShade="BF"/>
          <w:lang w:val="pl-PL"/>
        </w:rPr>
        <w:t xml:space="preserve"> </w:t>
      </w:r>
    </w:p>
    <w:p w:rsidR="0014325A" w:rsidRPr="0014325A" w:rsidRDefault="0014325A" w:rsidP="0014325A">
      <w:pPr>
        <w:pStyle w:val="COL5--Bodycopy"/>
        <w:numPr>
          <w:ilvl w:val="0"/>
          <w:numId w:val="5"/>
        </w:numPr>
        <w:spacing w:after="120"/>
        <w:rPr>
          <w:color w:val="383838" w:themeColor="text1" w:themeShade="BF"/>
          <w:lang w:val="pl-PL"/>
        </w:rPr>
      </w:pPr>
      <w:r w:rsidRPr="0014325A">
        <w:rPr>
          <w:b/>
          <w:bCs/>
          <w:color w:val="383838" w:themeColor="text1" w:themeShade="BF"/>
          <w:lang w:val="pl-PL"/>
        </w:rPr>
        <w:t xml:space="preserve">Gdańsk </w:t>
      </w:r>
      <w:r w:rsidRPr="0014325A">
        <w:rPr>
          <w:color w:val="383838" w:themeColor="text1" w:themeShade="BF"/>
          <w:lang w:val="pl-PL"/>
        </w:rPr>
        <w:t>– w ciągu 2013 r. odnotowano 14 transakcji n</w:t>
      </w:r>
      <w:r w:rsidR="001363AE">
        <w:rPr>
          <w:color w:val="383838" w:themeColor="text1" w:themeShade="BF"/>
          <w:lang w:val="pl-PL"/>
        </w:rPr>
        <w:t>ajmu na łączną powierzchnię 60,</w:t>
      </w:r>
      <w:r w:rsidRPr="0014325A">
        <w:rPr>
          <w:color w:val="383838" w:themeColor="text1" w:themeShade="BF"/>
          <w:lang w:val="pl-PL"/>
        </w:rPr>
        <w:t>7 tys. m</w:t>
      </w:r>
      <w:r w:rsidRPr="0014325A">
        <w:rPr>
          <w:color w:val="383838" w:themeColor="text1" w:themeShade="BF"/>
          <w:vertAlign w:val="superscript"/>
          <w:lang w:val="pl-PL"/>
        </w:rPr>
        <w:t>2</w:t>
      </w:r>
      <w:r w:rsidRPr="0014325A">
        <w:rPr>
          <w:color w:val="383838" w:themeColor="text1" w:themeShade="BF"/>
          <w:lang w:val="pl-PL"/>
        </w:rPr>
        <w:t xml:space="preserve">. Gdański rynek magazynowy charakteryzuje się aktualnie najniższym wskaźnikiem pustostanów spośród 9 głównych rynków magazynowych w Polsce. </w:t>
      </w:r>
    </w:p>
    <w:p w:rsidR="0014325A" w:rsidRPr="0014325A" w:rsidRDefault="0014325A" w:rsidP="0014325A">
      <w:pPr>
        <w:pStyle w:val="COL5--Bodycopy"/>
        <w:numPr>
          <w:ilvl w:val="0"/>
          <w:numId w:val="5"/>
        </w:numPr>
        <w:spacing w:after="120"/>
        <w:rPr>
          <w:color w:val="383838" w:themeColor="text1" w:themeShade="BF"/>
          <w:lang w:val="pl-PL"/>
        </w:rPr>
      </w:pPr>
      <w:r w:rsidRPr="0014325A">
        <w:rPr>
          <w:b/>
          <w:bCs/>
          <w:color w:val="383838" w:themeColor="text1" w:themeShade="BF"/>
          <w:lang w:val="pl-PL"/>
        </w:rPr>
        <w:lastRenderedPageBreak/>
        <w:t xml:space="preserve">Kraków </w:t>
      </w:r>
      <w:r w:rsidRPr="0014325A">
        <w:rPr>
          <w:color w:val="383838" w:themeColor="text1" w:themeShade="BF"/>
          <w:lang w:val="pl-PL"/>
        </w:rPr>
        <w:t>– w analizowanym okresie na rynku wynajęto ok. 18,5 tys. m2 w ramach 9 transakcji, z czego 64% stanowiły nowe umowy.</w:t>
      </w:r>
    </w:p>
    <w:p w:rsidR="0014325A" w:rsidRPr="0014325A" w:rsidRDefault="0014325A" w:rsidP="0014325A">
      <w:pPr>
        <w:pStyle w:val="COL5--Bodycopy"/>
        <w:numPr>
          <w:ilvl w:val="0"/>
          <w:numId w:val="5"/>
        </w:numPr>
        <w:spacing w:after="120"/>
        <w:rPr>
          <w:color w:val="383838" w:themeColor="text1" w:themeShade="BF"/>
          <w:lang w:val="pl-PL"/>
        </w:rPr>
      </w:pPr>
      <w:r w:rsidRPr="0014325A">
        <w:rPr>
          <w:b/>
          <w:bCs/>
          <w:color w:val="383838" w:themeColor="text1" w:themeShade="BF"/>
          <w:lang w:val="pl-PL"/>
        </w:rPr>
        <w:t xml:space="preserve">Toruń / Bydgoszcz </w:t>
      </w:r>
      <w:r w:rsidRPr="0014325A">
        <w:rPr>
          <w:color w:val="383838" w:themeColor="text1" w:themeShade="BF"/>
          <w:lang w:val="pl-PL"/>
        </w:rPr>
        <w:t>– w IV kwartale 2013 r. zawarte zostały dwie umowy najmu na łączną powierzchnię 14 tys. m</w:t>
      </w:r>
      <w:r w:rsidRPr="0014325A">
        <w:rPr>
          <w:color w:val="383838" w:themeColor="text1" w:themeShade="BF"/>
          <w:vertAlign w:val="superscript"/>
          <w:lang w:val="pl-PL"/>
        </w:rPr>
        <w:t>2</w:t>
      </w:r>
      <w:r w:rsidRPr="0014325A">
        <w:rPr>
          <w:color w:val="383838" w:themeColor="text1" w:themeShade="BF"/>
          <w:lang w:val="pl-PL"/>
        </w:rPr>
        <w:t>. Umowy te były jedynymi zawartymi umowami w roku 2</w:t>
      </w:r>
      <w:r w:rsidR="001363AE">
        <w:rPr>
          <w:color w:val="383838" w:themeColor="text1" w:themeShade="BF"/>
          <w:lang w:val="pl-PL"/>
        </w:rPr>
        <w:t>013 na rynku toruńsko-bydgoskim</w:t>
      </w:r>
      <w:r w:rsidRPr="0014325A">
        <w:rPr>
          <w:color w:val="383838" w:themeColor="text1" w:themeShade="BF"/>
          <w:lang w:val="pl-PL"/>
        </w:rPr>
        <w:t xml:space="preserve">. </w:t>
      </w:r>
    </w:p>
    <w:p w:rsidR="0014325A" w:rsidRPr="0014325A" w:rsidRDefault="0014325A" w:rsidP="0014325A">
      <w:pPr>
        <w:pStyle w:val="COL5--Bodycopy"/>
        <w:numPr>
          <w:ilvl w:val="0"/>
          <w:numId w:val="5"/>
        </w:numPr>
        <w:spacing w:after="120"/>
        <w:rPr>
          <w:color w:val="383838" w:themeColor="text1" w:themeShade="BF"/>
          <w:lang w:val="pl-PL"/>
        </w:rPr>
      </w:pPr>
      <w:r w:rsidRPr="0014325A">
        <w:rPr>
          <w:b/>
          <w:bCs/>
          <w:color w:val="383838" w:themeColor="text1" w:themeShade="BF"/>
          <w:lang w:val="pl-PL"/>
        </w:rPr>
        <w:t xml:space="preserve">Szczecin </w:t>
      </w:r>
      <w:r w:rsidRPr="0014325A">
        <w:rPr>
          <w:color w:val="383838" w:themeColor="text1" w:themeShade="BF"/>
          <w:lang w:val="pl-PL"/>
        </w:rPr>
        <w:t>–na szczecińskim rynku wynajęte zostało 28,8 tys. m</w:t>
      </w:r>
      <w:r w:rsidRPr="0014325A">
        <w:rPr>
          <w:color w:val="383838" w:themeColor="text1" w:themeShade="BF"/>
          <w:vertAlign w:val="superscript"/>
          <w:lang w:val="pl-PL"/>
        </w:rPr>
        <w:t>2</w:t>
      </w:r>
      <w:r w:rsidRPr="0014325A">
        <w:rPr>
          <w:color w:val="383838" w:themeColor="text1" w:themeShade="BF"/>
          <w:lang w:val="pl-PL"/>
        </w:rPr>
        <w:t xml:space="preserve"> w ramach 8 transakcji. Ponad 78% popytu stanowiły nowe umowy. </w:t>
      </w:r>
    </w:p>
    <w:p w:rsidR="0014325A" w:rsidRDefault="0014325A" w:rsidP="0014325A">
      <w:pPr>
        <w:pStyle w:val="COL5--Bodycopy"/>
        <w:spacing w:after="120"/>
        <w:rPr>
          <w:lang w:val="pl-PL"/>
        </w:rPr>
      </w:pPr>
    </w:p>
    <w:p w:rsidR="0014325A" w:rsidRPr="00634CD6" w:rsidRDefault="0014325A" w:rsidP="0014325A">
      <w:pPr>
        <w:pStyle w:val="COL5--Bodycopy"/>
        <w:spacing w:after="120"/>
        <w:rPr>
          <w:lang w:val="pl-PL"/>
        </w:rPr>
      </w:pPr>
      <w:r w:rsidRPr="00634CD6">
        <w:rPr>
          <w:lang w:val="pl-PL"/>
        </w:rPr>
        <w:t>DOSTĘPNE POWIERZCHNIE</w:t>
      </w:r>
    </w:p>
    <w:p w:rsidR="0014325A" w:rsidRPr="008D1493" w:rsidRDefault="0014325A" w:rsidP="0014325A">
      <w:pPr>
        <w:pStyle w:val="COL5--Bodycopy"/>
        <w:numPr>
          <w:ilvl w:val="0"/>
          <w:numId w:val="2"/>
        </w:numPr>
        <w:spacing w:after="120"/>
        <w:rPr>
          <w:lang w:val="pl-PL"/>
        </w:rPr>
      </w:pPr>
      <w:r w:rsidRPr="008D1493">
        <w:rPr>
          <w:lang w:val="pl-PL"/>
        </w:rPr>
        <w:t xml:space="preserve">W </w:t>
      </w:r>
      <w:r>
        <w:rPr>
          <w:lang w:val="pl-PL"/>
        </w:rPr>
        <w:t xml:space="preserve">stosunku do stanu z IV </w:t>
      </w:r>
      <w:r w:rsidRPr="008D1493">
        <w:rPr>
          <w:lang w:val="pl-PL"/>
        </w:rPr>
        <w:t>kwarta</w:t>
      </w:r>
      <w:r>
        <w:rPr>
          <w:lang w:val="pl-PL"/>
        </w:rPr>
        <w:t>łu 2012 r.,</w:t>
      </w:r>
      <w:r w:rsidRPr="008D1493">
        <w:rPr>
          <w:lang w:val="pl-PL"/>
        </w:rPr>
        <w:t xml:space="preserve"> współczynnik </w:t>
      </w:r>
      <w:r>
        <w:rPr>
          <w:lang w:val="pl-PL"/>
        </w:rPr>
        <w:t>dostęp</w:t>
      </w:r>
      <w:r w:rsidRPr="008D1493">
        <w:rPr>
          <w:lang w:val="pl-PL"/>
        </w:rPr>
        <w:t xml:space="preserve">nych powierzchni magazynowych w Polsce </w:t>
      </w:r>
      <w:r>
        <w:rPr>
          <w:lang w:val="pl-PL"/>
        </w:rPr>
        <w:t>uległ zwiększeniu o 1,6 punktu procentowego osiągając poziom</w:t>
      </w:r>
      <w:r w:rsidRPr="008D1493">
        <w:rPr>
          <w:lang w:val="pl-PL"/>
        </w:rPr>
        <w:t xml:space="preserve"> 10,</w:t>
      </w:r>
      <w:r>
        <w:rPr>
          <w:lang w:val="pl-PL"/>
        </w:rPr>
        <w:t>8</w:t>
      </w:r>
      <w:r w:rsidRPr="008D1493">
        <w:rPr>
          <w:lang w:val="pl-PL"/>
        </w:rPr>
        <w:t>%.</w:t>
      </w:r>
    </w:p>
    <w:p w:rsidR="0014325A" w:rsidRPr="008D1493" w:rsidRDefault="0014325A" w:rsidP="0014325A">
      <w:pPr>
        <w:pStyle w:val="COL5--Bodycopy"/>
        <w:numPr>
          <w:ilvl w:val="0"/>
          <w:numId w:val="2"/>
        </w:numPr>
        <w:spacing w:after="120"/>
        <w:rPr>
          <w:lang w:val="pl-PL"/>
        </w:rPr>
      </w:pPr>
      <w:r w:rsidRPr="008D1493">
        <w:rPr>
          <w:lang w:val="pl-PL"/>
        </w:rPr>
        <w:t xml:space="preserve">Warszawa – w trzech warszawskich strefach odnotowano </w:t>
      </w:r>
      <w:r>
        <w:rPr>
          <w:lang w:val="pl-PL"/>
        </w:rPr>
        <w:t>wzrost</w:t>
      </w:r>
      <w:r w:rsidRPr="008D1493">
        <w:rPr>
          <w:lang w:val="pl-PL"/>
        </w:rPr>
        <w:t xml:space="preserve"> współczynnika wolnych powierzchni </w:t>
      </w:r>
      <w:r>
        <w:rPr>
          <w:lang w:val="pl-PL"/>
        </w:rPr>
        <w:t xml:space="preserve">o 2,3 punktów procentowych </w:t>
      </w:r>
      <w:r w:rsidRPr="008D1493">
        <w:rPr>
          <w:lang w:val="pl-PL"/>
        </w:rPr>
        <w:t>w stosunku do 201</w:t>
      </w:r>
      <w:r>
        <w:rPr>
          <w:lang w:val="pl-PL"/>
        </w:rPr>
        <w:t>2</w:t>
      </w:r>
      <w:r w:rsidRPr="008D1493">
        <w:rPr>
          <w:lang w:val="pl-PL"/>
        </w:rPr>
        <w:t xml:space="preserve"> roku</w:t>
      </w:r>
      <w:r>
        <w:rPr>
          <w:lang w:val="pl-PL"/>
        </w:rPr>
        <w:t>. W poszczególnych strefach wskaźnik pustostanów kształtował się na poziomach 21,6% (strefa I), 12,6% (strefa II) oraz 10,4% (strefa III)</w:t>
      </w:r>
      <w:r w:rsidRPr="008D1493">
        <w:rPr>
          <w:lang w:val="pl-PL"/>
        </w:rPr>
        <w:t>.</w:t>
      </w:r>
    </w:p>
    <w:p w:rsidR="0014325A" w:rsidRDefault="0014325A" w:rsidP="0014325A">
      <w:pPr>
        <w:pStyle w:val="COL5--Bodycopy"/>
        <w:numPr>
          <w:ilvl w:val="0"/>
          <w:numId w:val="2"/>
        </w:numPr>
        <w:spacing w:after="120"/>
        <w:rPr>
          <w:lang w:val="pl-PL"/>
        </w:rPr>
      </w:pPr>
      <w:r w:rsidRPr="008D1493">
        <w:rPr>
          <w:lang w:val="pl-PL"/>
        </w:rPr>
        <w:t xml:space="preserve">Miasta regionalne – rynki o najniższym poziomie współczynnika powierzchni </w:t>
      </w:r>
      <w:r>
        <w:rPr>
          <w:lang w:val="pl-PL"/>
        </w:rPr>
        <w:t xml:space="preserve">niewynajętych to: </w:t>
      </w:r>
      <w:r w:rsidRPr="008D1493">
        <w:rPr>
          <w:lang w:val="pl-PL"/>
        </w:rPr>
        <w:t>Gdańsk</w:t>
      </w:r>
      <w:r>
        <w:rPr>
          <w:lang w:val="pl-PL"/>
        </w:rPr>
        <w:t xml:space="preserve"> na pierwszym miejscu z wartością 2</w:t>
      </w:r>
      <w:r w:rsidRPr="008D1493">
        <w:rPr>
          <w:lang w:val="pl-PL"/>
        </w:rPr>
        <w:t>,</w:t>
      </w:r>
      <w:r>
        <w:rPr>
          <w:lang w:val="pl-PL"/>
        </w:rPr>
        <w:t>5% i Poznań na drugim (4,6%). N</w:t>
      </w:r>
      <w:r w:rsidRPr="008D1493">
        <w:rPr>
          <w:lang w:val="pl-PL"/>
        </w:rPr>
        <w:t>ajwyższ</w:t>
      </w:r>
      <w:r>
        <w:rPr>
          <w:lang w:val="pl-PL"/>
        </w:rPr>
        <w:t>ymi</w:t>
      </w:r>
      <w:r w:rsidRPr="008D1493">
        <w:rPr>
          <w:lang w:val="pl-PL"/>
        </w:rPr>
        <w:t xml:space="preserve"> wartości</w:t>
      </w:r>
      <w:r>
        <w:rPr>
          <w:lang w:val="pl-PL"/>
        </w:rPr>
        <w:t>ami</w:t>
      </w:r>
      <w:r w:rsidRPr="008D1493">
        <w:rPr>
          <w:lang w:val="pl-PL"/>
        </w:rPr>
        <w:t xml:space="preserve"> wskaźnika </w:t>
      </w:r>
      <w:r>
        <w:rPr>
          <w:lang w:val="pl-PL"/>
        </w:rPr>
        <w:t>natomiast charakteryzują się rynki Centralnej Polski</w:t>
      </w:r>
      <w:r w:rsidRPr="008D1493">
        <w:rPr>
          <w:lang w:val="pl-PL"/>
        </w:rPr>
        <w:t xml:space="preserve"> (1</w:t>
      </w:r>
      <w:r>
        <w:rPr>
          <w:lang w:val="pl-PL"/>
        </w:rPr>
        <w:t>3</w:t>
      </w:r>
      <w:r w:rsidRPr="008D1493">
        <w:rPr>
          <w:lang w:val="pl-PL"/>
        </w:rPr>
        <w:t>,</w:t>
      </w:r>
      <w:r>
        <w:rPr>
          <w:lang w:val="pl-PL"/>
        </w:rPr>
        <w:t>7%) oraz Torunia</w:t>
      </w:r>
      <w:r w:rsidRPr="008D1493">
        <w:rPr>
          <w:lang w:val="pl-PL"/>
        </w:rPr>
        <w:t xml:space="preserve"> i Bydgoszczy (</w:t>
      </w:r>
      <w:r>
        <w:rPr>
          <w:lang w:val="pl-PL"/>
        </w:rPr>
        <w:t>13,3</w:t>
      </w:r>
      <w:r w:rsidRPr="008D1493">
        <w:rPr>
          <w:lang w:val="pl-PL"/>
        </w:rPr>
        <w:t>%).</w:t>
      </w:r>
    </w:p>
    <w:p w:rsidR="0014325A" w:rsidRPr="008D1493" w:rsidRDefault="0014325A" w:rsidP="0014325A">
      <w:pPr>
        <w:pStyle w:val="COL5--Bodycopy"/>
        <w:spacing w:after="120"/>
        <w:ind w:left="720"/>
        <w:rPr>
          <w:lang w:val="pl-PL"/>
        </w:rPr>
      </w:pPr>
    </w:p>
    <w:p w:rsidR="0014325A" w:rsidRPr="00634CD6" w:rsidRDefault="0014325A" w:rsidP="0014325A">
      <w:pPr>
        <w:pStyle w:val="COL5--Bodycopy"/>
        <w:spacing w:after="120"/>
        <w:rPr>
          <w:lang w:val="pl-PL"/>
        </w:rPr>
      </w:pPr>
      <w:r w:rsidRPr="00634CD6">
        <w:rPr>
          <w:lang w:val="pl-PL"/>
        </w:rPr>
        <w:t xml:space="preserve">STAWKI CZYNSZU </w:t>
      </w:r>
    </w:p>
    <w:p w:rsidR="0014325A" w:rsidRPr="008D1493" w:rsidRDefault="0014325A" w:rsidP="0014325A">
      <w:pPr>
        <w:pStyle w:val="COL5--Bodycopy"/>
        <w:spacing w:after="120"/>
        <w:ind w:left="720"/>
        <w:rPr>
          <w:lang w:val="pl-PL"/>
        </w:rPr>
      </w:pPr>
      <w:r>
        <w:rPr>
          <w:lang w:val="pl-PL"/>
        </w:rPr>
        <w:t xml:space="preserve">Na większości rynków nie zaobserwowano większych zmian stawek czynszów. Najwyższe stawki odnotowano </w:t>
      </w:r>
      <w:r w:rsidRPr="008D1493">
        <w:rPr>
          <w:lang w:val="pl-PL"/>
        </w:rPr>
        <w:t xml:space="preserve">w </w:t>
      </w:r>
      <w:r>
        <w:rPr>
          <w:lang w:val="pl-PL"/>
        </w:rPr>
        <w:t xml:space="preserve">Krakowie (3.7-4.5 </w:t>
      </w:r>
      <w:r>
        <w:rPr>
          <w:rFonts w:cs="Arial"/>
          <w:lang w:val="pl-PL"/>
        </w:rPr>
        <w:t>€</w:t>
      </w:r>
      <w:r>
        <w:rPr>
          <w:lang w:val="pl-PL"/>
        </w:rPr>
        <w:t>/m</w:t>
      </w:r>
      <w:r w:rsidRPr="00B767D6">
        <w:rPr>
          <w:vertAlign w:val="superscript"/>
          <w:lang w:val="pl-PL"/>
        </w:rPr>
        <w:t>2</w:t>
      </w:r>
      <w:r>
        <w:rPr>
          <w:lang w:val="pl-PL"/>
        </w:rPr>
        <w:t xml:space="preserve">), I strefie warszawskiej (3.3-5.5 </w:t>
      </w:r>
      <w:r>
        <w:rPr>
          <w:rFonts w:cs="Arial"/>
          <w:lang w:val="pl-PL"/>
        </w:rPr>
        <w:t>€</w:t>
      </w:r>
      <w:r>
        <w:rPr>
          <w:lang w:val="pl-PL"/>
        </w:rPr>
        <w:t>/m</w:t>
      </w:r>
      <w:r w:rsidRPr="00B767D6">
        <w:rPr>
          <w:vertAlign w:val="superscript"/>
          <w:lang w:val="pl-PL"/>
        </w:rPr>
        <w:t>2</w:t>
      </w:r>
      <w:r>
        <w:rPr>
          <w:lang w:val="pl-PL"/>
        </w:rPr>
        <w:t xml:space="preserve">) oraz Szczecinie (2.9-4 </w:t>
      </w:r>
      <w:r>
        <w:rPr>
          <w:rFonts w:cs="Arial"/>
          <w:lang w:val="pl-PL"/>
        </w:rPr>
        <w:t>€</w:t>
      </w:r>
      <w:r>
        <w:rPr>
          <w:lang w:val="pl-PL"/>
        </w:rPr>
        <w:t>/m</w:t>
      </w:r>
      <w:r w:rsidRPr="00B767D6">
        <w:rPr>
          <w:vertAlign w:val="superscript"/>
          <w:lang w:val="pl-PL"/>
        </w:rPr>
        <w:t>2</w:t>
      </w:r>
      <w:r>
        <w:rPr>
          <w:lang w:val="pl-PL"/>
        </w:rPr>
        <w:t xml:space="preserve">). Najniższym poziomem charakteryzowały się stawki w Polsce Centralnej (1.9-3 </w:t>
      </w:r>
      <w:r>
        <w:rPr>
          <w:rFonts w:cs="Arial"/>
          <w:lang w:val="pl-PL"/>
        </w:rPr>
        <w:t>€</w:t>
      </w:r>
      <w:r>
        <w:rPr>
          <w:lang w:val="pl-PL"/>
        </w:rPr>
        <w:t>/m</w:t>
      </w:r>
      <w:r w:rsidRPr="00B767D6">
        <w:rPr>
          <w:vertAlign w:val="superscript"/>
          <w:lang w:val="pl-PL"/>
        </w:rPr>
        <w:t>2</w:t>
      </w:r>
      <w:r>
        <w:rPr>
          <w:lang w:val="pl-PL"/>
        </w:rPr>
        <w:t xml:space="preserve">) oraz II i III warszawskiej strefie (1.8-2.9 </w:t>
      </w:r>
      <w:r>
        <w:rPr>
          <w:rFonts w:cs="Arial"/>
          <w:lang w:val="pl-PL"/>
        </w:rPr>
        <w:t>€</w:t>
      </w:r>
      <w:r>
        <w:rPr>
          <w:lang w:val="pl-PL"/>
        </w:rPr>
        <w:t>/m</w:t>
      </w:r>
      <w:r w:rsidRPr="00B767D6">
        <w:rPr>
          <w:vertAlign w:val="superscript"/>
          <w:lang w:val="pl-PL"/>
        </w:rPr>
        <w:t>2</w:t>
      </w:r>
      <w:r>
        <w:rPr>
          <w:lang w:val="pl-PL"/>
        </w:rPr>
        <w:t>)</w:t>
      </w:r>
      <w:r w:rsidRPr="008D1493">
        <w:rPr>
          <w:lang w:val="pl-PL"/>
        </w:rPr>
        <w:t xml:space="preserve">. </w:t>
      </w:r>
    </w:p>
    <w:p w:rsidR="0014325A" w:rsidRDefault="0014325A" w:rsidP="0014325A">
      <w:pPr>
        <w:pStyle w:val="COL5--Bodycopy"/>
        <w:spacing w:after="120"/>
        <w:rPr>
          <w:lang w:val="pl-PL"/>
        </w:rPr>
      </w:pPr>
    </w:p>
    <w:p w:rsidR="0014325A" w:rsidRDefault="0014325A" w:rsidP="0014325A">
      <w:pPr>
        <w:pStyle w:val="COL5--Bodycopy"/>
        <w:spacing w:after="120"/>
        <w:rPr>
          <w:lang w:val="pl-PL"/>
        </w:rPr>
      </w:pPr>
      <w:r>
        <w:rPr>
          <w:lang w:val="pl-PL"/>
        </w:rPr>
        <w:t>PROGNOZY</w:t>
      </w:r>
    </w:p>
    <w:p w:rsidR="0014325A" w:rsidRPr="00B57E2B" w:rsidRDefault="00DB6B22" w:rsidP="0014325A">
      <w:pPr>
        <w:pStyle w:val="COL5--Bodycopy"/>
        <w:spacing w:after="120"/>
        <w:rPr>
          <w:lang w:val="pl-PL"/>
        </w:rPr>
      </w:pPr>
      <w:r>
        <w:rPr>
          <w:i/>
          <w:lang w:val="pl-PL"/>
        </w:rPr>
        <w:t>„</w:t>
      </w:r>
      <w:r w:rsidR="0014325A" w:rsidRPr="00B57E2B">
        <w:rPr>
          <w:i/>
          <w:lang w:val="pl-PL"/>
        </w:rPr>
        <w:t xml:space="preserve">Obecnie w budowie znajduje się </w:t>
      </w:r>
      <w:r w:rsidR="0014325A">
        <w:rPr>
          <w:i/>
          <w:lang w:val="pl-PL"/>
        </w:rPr>
        <w:t>blisko 707</w:t>
      </w:r>
      <w:r w:rsidR="0014325A" w:rsidRPr="00B57E2B">
        <w:rPr>
          <w:i/>
          <w:lang w:val="pl-PL"/>
        </w:rPr>
        <w:t xml:space="preserve"> tys. m² nowoczesnej pow</w:t>
      </w:r>
      <w:r w:rsidR="0014325A">
        <w:rPr>
          <w:i/>
          <w:lang w:val="pl-PL"/>
        </w:rPr>
        <w:t>ierzchni magazynowej, z czego 91</w:t>
      </w:r>
      <w:r w:rsidR="0014325A" w:rsidRPr="00B57E2B">
        <w:rPr>
          <w:i/>
          <w:lang w:val="pl-PL"/>
        </w:rPr>
        <w:t xml:space="preserve">% zostało już wynajęte. W związku z powyższym możemy spodziewać się stopniowego spadku współczynnika powierzchni niewynajętych, czego prawdopodobnym skutkiem będzie niewielka </w:t>
      </w:r>
      <w:r w:rsidR="0014325A">
        <w:rPr>
          <w:i/>
          <w:lang w:val="pl-PL"/>
        </w:rPr>
        <w:t xml:space="preserve">tendencja wzrostowa czynszów na </w:t>
      </w:r>
      <w:r w:rsidR="0014325A" w:rsidRPr="00B57E2B">
        <w:rPr>
          <w:i/>
          <w:lang w:val="pl-PL"/>
        </w:rPr>
        <w:t>wybranych rynkach</w:t>
      </w:r>
      <w:r w:rsidR="0014325A">
        <w:rPr>
          <w:i/>
          <w:lang w:val="pl-PL"/>
        </w:rPr>
        <w:t>, a także wzrost ich zróżnicowania w zależności od atrakcyjności danej powierzchni</w:t>
      </w:r>
      <w:r w:rsidR="0014325A" w:rsidRPr="00B57E2B">
        <w:rPr>
          <w:i/>
          <w:lang w:val="pl-PL"/>
        </w:rPr>
        <w:t>.</w:t>
      </w:r>
      <w:r w:rsidR="0014325A">
        <w:rPr>
          <w:i/>
          <w:lang w:val="pl-PL"/>
        </w:rPr>
        <w:t xml:space="preserve"> W 2014 r. umowy typu BTS wciąż będą cieszyć się dużą popularnością, zwłaszcza wśród najemców z branży produkcyjnej. Przewidywany jest stopniowy powrót inwestycji spekulacyjnych w regionach o niskim poziomie dostępnej powierzchni, jak Poznań czy Kraków. Rok 2014 przyniesie również rozwój tzw. obiektów Small Business </w:t>
      </w:r>
      <w:proofErr w:type="spellStart"/>
      <w:r w:rsidR="0014325A">
        <w:rPr>
          <w:i/>
          <w:lang w:val="pl-PL"/>
        </w:rPr>
        <w:t>Units</w:t>
      </w:r>
      <w:proofErr w:type="spellEnd"/>
      <w:r w:rsidR="0014325A">
        <w:rPr>
          <w:i/>
          <w:lang w:val="pl-PL"/>
        </w:rPr>
        <w:t xml:space="preserve"> (SBU) oferujących najemcom najmniejsze powierzchnie, już od 600 m</w:t>
      </w:r>
      <w:r w:rsidR="0014325A" w:rsidRPr="006D7BCA">
        <w:rPr>
          <w:i/>
          <w:vertAlign w:val="superscript"/>
          <w:lang w:val="pl-PL"/>
        </w:rPr>
        <w:t>2</w:t>
      </w:r>
      <w:r w:rsidR="0014325A">
        <w:rPr>
          <w:i/>
          <w:lang w:val="pl-PL"/>
        </w:rPr>
        <w:t>.</w:t>
      </w:r>
      <w:r>
        <w:rPr>
          <w:i/>
          <w:lang w:val="pl-PL"/>
        </w:rPr>
        <w:t xml:space="preserve">” </w:t>
      </w:r>
      <w:r w:rsidRPr="00DB6B22">
        <w:rPr>
          <w:lang w:val="pl-PL"/>
        </w:rPr>
        <w:t xml:space="preserve">– komentuje </w:t>
      </w:r>
      <w:r w:rsidRPr="00DB6B22">
        <w:rPr>
          <w:b/>
          <w:lang w:val="pl-PL"/>
        </w:rPr>
        <w:t>Tomasz Kasperowicz</w:t>
      </w:r>
      <w:r w:rsidRPr="00DB6B22">
        <w:rPr>
          <w:lang w:val="pl-PL"/>
        </w:rPr>
        <w:t xml:space="preserve">, Dyrektor, Dział Powierzchni Logistycznych i Przemysłowych, </w:t>
      </w:r>
      <w:proofErr w:type="spellStart"/>
      <w:r w:rsidRPr="00DB6B22">
        <w:rPr>
          <w:lang w:val="pl-PL"/>
        </w:rPr>
        <w:t>Colliers</w:t>
      </w:r>
      <w:proofErr w:type="spellEnd"/>
      <w:r w:rsidRPr="00DB6B22">
        <w:rPr>
          <w:lang w:val="pl-PL"/>
        </w:rPr>
        <w:t xml:space="preserve"> International.</w:t>
      </w:r>
      <w:r w:rsidR="0014325A" w:rsidRPr="00DB6B22">
        <w:rPr>
          <w:lang w:val="pl-PL"/>
        </w:rPr>
        <w:t xml:space="preserve"> </w:t>
      </w:r>
    </w:p>
    <w:p w:rsidR="0014325A" w:rsidRDefault="0014325A" w:rsidP="001B743C">
      <w:pPr>
        <w:spacing w:line="720" w:lineRule="auto"/>
        <w:jc w:val="center"/>
        <w:rPr>
          <w:color w:val="4B4B4B"/>
          <w:lang w:val="pl-PL"/>
        </w:rPr>
      </w:pPr>
    </w:p>
    <w:p w:rsidR="007A3416" w:rsidRPr="00962883" w:rsidRDefault="007A3416" w:rsidP="001B743C">
      <w:pPr>
        <w:spacing w:line="720" w:lineRule="auto"/>
        <w:jc w:val="center"/>
        <w:rPr>
          <w:color w:val="4B4B4B"/>
          <w:lang w:val="pl-PL"/>
        </w:rPr>
      </w:pPr>
      <w:r w:rsidRPr="00962883">
        <w:rPr>
          <w:color w:val="4B4B4B"/>
          <w:lang w:val="pl-PL"/>
        </w:rPr>
        <w:lastRenderedPageBreak/>
        <w:t>###</w:t>
      </w:r>
    </w:p>
    <w:p w:rsidR="00D26871" w:rsidRPr="00BB688C" w:rsidRDefault="00D26871" w:rsidP="007A3416">
      <w:pPr>
        <w:pStyle w:val="COL5--Bodycopy"/>
        <w:spacing w:after="120"/>
        <w:rPr>
          <w:b/>
          <w:sz w:val="16"/>
          <w:szCs w:val="16"/>
          <w:lang w:val="pl-PL"/>
        </w:rPr>
      </w:pPr>
      <w:proofErr w:type="spellStart"/>
      <w:r w:rsidRPr="00BB688C">
        <w:rPr>
          <w:b/>
          <w:sz w:val="16"/>
          <w:szCs w:val="16"/>
          <w:lang w:val="pl-PL"/>
        </w:rPr>
        <w:t>Colliers</w:t>
      </w:r>
      <w:proofErr w:type="spellEnd"/>
      <w:r w:rsidRPr="00BB688C">
        <w:rPr>
          <w:b/>
          <w:sz w:val="16"/>
          <w:szCs w:val="16"/>
          <w:lang w:val="pl-PL"/>
        </w:rPr>
        <w:t xml:space="preserve"> International</w:t>
      </w:r>
    </w:p>
    <w:p w:rsidR="00DD2DC6" w:rsidRPr="00DD2DC6" w:rsidRDefault="00DD2DC6" w:rsidP="00DD2DC6">
      <w:pPr>
        <w:pStyle w:val="COL5--Bodycopy"/>
        <w:spacing w:line="240" w:lineRule="auto"/>
        <w:rPr>
          <w:sz w:val="16"/>
          <w:szCs w:val="16"/>
          <w:lang w:val="pl-PL"/>
        </w:rPr>
      </w:pPr>
      <w:proofErr w:type="spellStart"/>
      <w:r w:rsidRPr="00DD2DC6">
        <w:rPr>
          <w:sz w:val="16"/>
          <w:szCs w:val="16"/>
          <w:lang w:val="pl-PL"/>
        </w:rPr>
        <w:t>Colliers</w:t>
      </w:r>
      <w:proofErr w:type="spellEnd"/>
      <w:r w:rsidRPr="00DD2DC6">
        <w:rPr>
          <w:sz w:val="16"/>
          <w:szCs w:val="16"/>
          <w:lang w:val="pl-PL"/>
        </w:rPr>
        <w:t xml:space="preserve"> International jest globalną firmą doradczą działającą w obszarze rynku nieruchomości komercyjnych poprzez sieć 482 biur w 62 krajach i zatrudniającą ponad 13 500 pracowników. Jako część spółki giełdowej </w:t>
      </w:r>
      <w:proofErr w:type="spellStart"/>
      <w:r w:rsidRPr="00DD2DC6">
        <w:rPr>
          <w:sz w:val="16"/>
          <w:szCs w:val="16"/>
          <w:lang w:val="pl-PL"/>
        </w:rPr>
        <w:t>FirstService</w:t>
      </w:r>
      <w:proofErr w:type="spellEnd"/>
      <w:r w:rsidRPr="00DD2DC6">
        <w:rPr>
          <w:sz w:val="16"/>
          <w:szCs w:val="16"/>
          <w:lang w:val="pl-PL"/>
        </w:rPr>
        <w:t xml:space="preserve"> </w:t>
      </w:r>
      <w:proofErr w:type="spellStart"/>
      <w:r w:rsidRPr="00DD2DC6">
        <w:rPr>
          <w:sz w:val="16"/>
          <w:szCs w:val="16"/>
          <w:lang w:val="pl-PL"/>
        </w:rPr>
        <w:t>Corporation</w:t>
      </w:r>
      <w:proofErr w:type="spellEnd"/>
      <w:r w:rsidRPr="00DD2DC6">
        <w:rPr>
          <w:sz w:val="16"/>
          <w:szCs w:val="16"/>
          <w:lang w:val="pl-PL"/>
        </w:rPr>
        <w:t xml:space="preserve"> </w:t>
      </w:r>
      <w:proofErr w:type="spellStart"/>
      <w:r w:rsidRPr="00DD2DC6">
        <w:rPr>
          <w:sz w:val="16"/>
          <w:szCs w:val="16"/>
          <w:lang w:val="pl-PL"/>
        </w:rPr>
        <w:t>Colliers</w:t>
      </w:r>
      <w:proofErr w:type="spellEnd"/>
      <w:r w:rsidRPr="00DD2DC6">
        <w:rPr>
          <w:sz w:val="16"/>
          <w:szCs w:val="16"/>
          <w:lang w:val="pl-PL"/>
        </w:rPr>
        <w:t xml:space="preserve"> oferuje pełen zakres usług podmiotom związanym z rynkiem nieruchomości. </w:t>
      </w:r>
      <w:proofErr w:type="spellStart"/>
      <w:r w:rsidRPr="00DD2DC6">
        <w:rPr>
          <w:sz w:val="16"/>
          <w:szCs w:val="16"/>
          <w:lang w:val="pl-PL"/>
        </w:rPr>
        <w:t>Colliers</w:t>
      </w:r>
      <w:proofErr w:type="spellEnd"/>
      <w:r w:rsidRPr="00DD2DC6">
        <w:rPr>
          <w:sz w:val="16"/>
          <w:szCs w:val="16"/>
          <w:lang w:val="pl-PL"/>
        </w:rPr>
        <w:t xml:space="preserve"> doradza najemcom komercyjnym, właścicielom nieruchomości oraz inwestorom. Zajmuje się pośrednictwem w zakresie wynajmu, sprzedaży i zarządzania nieruchomościami, a także doradztwem na rynku inwestycji hotelowych i rekreacyjnych, nadzorem budowlanym, wyceną oraz badaniami rynku. Według najnowszego rankingu sporządzonego przez </w:t>
      </w:r>
      <w:proofErr w:type="spellStart"/>
      <w:r w:rsidRPr="00DD2DC6">
        <w:rPr>
          <w:sz w:val="16"/>
          <w:szCs w:val="16"/>
          <w:lang w:val="pl-PL"/>
        </w:rPr>
        <w:t>Lipsey</w:t>
      </w:r>
      <w:proofErr w:type="spellEnd"/>
      <w:r w:rsidRPr="00DD2DC6">
        <w:rPr>
          <w:sz w:val="16"/>
          <w:szCs w:val="16"/>
          <w:lang w:val="pl-PL"/>
        </w:rPr>
        <w:t xml:space="preserve"> Company </w:t>
      </w:r>
      <w:proofErr w:type="spellStart"/>
      <w:r w:rsidRPr="00DD2DC6">
        <w:rPr>
          <w:sz w:val="16"/>
          <w:szCs w:val="16"/>
          <w:lang w:val="pl-PL"/>
        </w:rPr>
        <w:t>Colliers</w:t>
      </w:r>
      <w:proofErr w:type="spellEnd"/>
      <w:r w:rsidRPr="00DD2DC6">
        <w:rPr>
          <w:sz w:val="16"/>
          <w:szCs w:val="16"/>
          <w:lang w:val="pl-PL"/>
        </w:rPr>
        <w:t xml:space="preserve"> International jest drugą na świecie najbardziej rozpoznawalną firmą działającą w obszarze nieruchomości komercyjnych. </w:t>
      </w:r>
    </w:p>
    <w:p w:rsidR="00DD2DC6" w:rsidRPr="00DD2DC6" w:rsidRDefault="00DD2DC6" w:rsidP="00DD2DC6">
      <w:pPr>
        <w:pStyle w:val="COL5--Bodycopy"/>
        <w:spacing w:line="240" w:lineRule="auto"/>
        <w:rPr>
          <w:sz w:val="16"/>
          <w:szCs w:val="16"/>
          <w:lang w:val="pl-PL"/>
        </w:rPr>
      </w:pPr>
      <w:r w:rsidRPr="00DD2DC6">
        <w:rPr>
          <w:sz w:val="16"/>
          <w:szCs w:val="16"/>
          <w:lang w:val="pl-PL"/>
        </w:rPr>
        <w:t>W Polsce firma działa od 1997 roku i posiada biura w Warszawie,</w:t>
      </w:r>
      <w:r w:rsidR="00E079A0">
        <w:rPr>
          <w:sz w:val="16"/>
          <w:szCs w:val="16"/>
          <w:lang w:val="pl-PL"/>
        </w:rPr>
        <w:t xml:space="preserve"> Krakowie, Wrocławiu, Poznaniu, </w:t>
      </w:r>
      <w:r w:rsidRPr="00DD2DC6">
        <w:rPr>
          <w:sz w:val="16"/>
          <w:szCs w:val="16"/>
          <w:lang w:val="pl-PL"/>
        </w:rPr>
        <w:t xml:space="preserve"> Szczecinie</w:t>
      </w:r>
      <w:r w:rsidR="00E079A0">
        <w:rPr>
          <w:sz w:val="16"/>
          <w:szCs w:val="16"/>
          <w:lang w:val="pl-PL"/>
        </w:rPr>
        <w:t xml:space="preserve"> i Gdańsku</w:t>
      </w:r>
      <w:r w:rsidRPr="00DD2DC6">
        <w:rPr>
          <w:sz w:val="16"/>
          <w:szCs w:val="16"/>
          <w:lang w:val="pl-PL"/>
        </w:rPr>
        <w:t xml:space="preserve">, w których łącznie zatrudnia ponad </w:t>
      </w:r>
      <w:r w:rsidR="007726B6">
        <w:rPr>
          <w:sz w:val="16"/>
          <w:szCs w:val="16"/>
          <w:lang w:val="pl-PL"/>
        </w:rPr>
        <w:t>20</w:t>
      </w:r>
      <w:r w:rsidRPr="00DD2DC6">
        <w:rPr>
          <w:sz w:val="16"/>
          <w:szCs w:val="16"/>
          <w:lang w:val="pl-PL"/>
        </w:rPr>
        <w:t>0 specjalistów.</w:t>
      </w:r>
    </w:p>
    <w:p w:rsidR="00DD2DC6" w:rsidRPr="00DD2DC6" w:rsidRDefault="00DD2DC6" w:rsidP="00DD2DC6">
      <w:pPr>
        <w:pStyle w:val="COL5--Bodycopy"/>
        <w:spacing w:line="240" w:lineRule="auto"/>
        <w:rPr>
          <w:sz w:val="16"/>
          <w:szCs w:val="16"/>
          <w:lang w:val="pl-PL"/>
        </w:rPr>
      </w:pPr>
    </w:p>
    <w:p w:rsidR="00DD2DC6" w:rsidRPr="00DD2DC6" w:rsidRDefault="00DD2DC6" w:rsidP="00DD2DC6">
      <w:pPr>
        <w:pStyle w:val="COL5--Bodycopy"/>
        <w:spacing w:line="240" w:lineRule="auto"/>
        <w:rPr>
          <w:sz w:val="16"/>
          <w:szCs w:val="16"/>
          <w:lang w:val="pl-PL"/>
        </w:rPr>
      </w:pPr>
      <w:proofErr w:type="spellStart"/>
      <w:r w:rsidRPr="00DD2DC6">
        <w:rPr>
          <w:sz w:val="16"/>
          <w:szCs w:val="16"/>
          <w:lang w:val="pl-PL"/>
        </w:rPr>
        <w:t>Colliers</w:t>
      </w:r>
      <w:proofErr w:type="spellEnd"/>
      <w:r w:rsidRPr="00DD2DC6">
        <w:rPr>
          <w:sz w:val="16"/>
          <w:szCs w:val="16"/>
          <w:lang w:val="pl-PL"/>
        </w:rPr>
        <w:t xml:space="preserve"> International został uhonorowany tytułem Agencja Roku w kategorii powierzchni magazynowych, Agencja Roku w kategorii powierzchni biurowych oraz Firma Roku w kategorii zarządcy nieruchomości wg CEE Real </w:t>
      </w:r>
      <w:proofErr w:type="spellStart"/>
      <w:r w:rsidRPr="00DD2DC6">
        <w:rPr>
          <w:sz w:val="16"/>
          <w:szCs w:val="16"/>
          <w:lang w:val="pl-PL"/>
        </w:rPr>
        <w:t>Estate</w:t>
      </w:r>
      <w:proofErr w:type="spellEnd"/>
      <w:r w:rsidRPr="00DD2DC6">
        <w:rPr>
          <w:sz w:val="16"/>
          <w:szCs w:val="16"/>
          <w:lang w:val="pl-PL"/>
        </w:rPr>
        <w:t xml:space="preserve"> </w:t>
      </w:r>
      <w:proofErr w:type="spellStart"/>
      <w:r w:rsidRPr="00DD2DC6">
        <w:rPr>
          <w:sz w:val="16"/>
          <w:szCs w:val="16"/>
          <w:lang w:val="pl-PL"/>
        </w:rPr>
        <w:t>Quality</w:t>
      </w:r>
      <w:proofErr w:type="spellEnd"/>
      <w:r w:rsidRPr="00DD2DC6">
        <w:rPr>
          <w:sz w:val="16"/>
          <w:szCs w:val="16"/>
          <w:lang w:val="pl-PL"/>
        </w:rPr>
        <w:t xml:space="preserve"> </w:t>
      </w:r>
      <w:proofErr w:type="spellStart"/>
      <w:r w:rsidRPr="00DD2DC6">
        <w:rPr>
          <w:sz w:val="16"/>
          <w:szCs w:val="16"/>
          <w:lang w:val="pl-PL"/>
        </w:rPr>
        <w:t>Awards</w:t>
      </w:r>
      <w:proofErr w:type="spellEnd"/>
      <w:r w:rsidRPr="00DD2DC6">
        <w:rPr>
          <w:sz w:val="16"/>
          <w:szCs w:val="16"/>
          <w:lang w:val="pl-PL"/>
        </w:rPr>
        <w:t xml:space="preserve"> 2012. Już po raz czwarty </w:t>
      </w:r>
      <w:proofErr w:type="spellStart"/>
      <w:r w:rsidRPr="00DD2DC6">
        <w:rPr>
          <w:sz w:val="16"/>
          <w:szCs w:val="16"/>
          <w:lang w:val="pl-PL"/>
        </w:rPr>
        <w:t>Colliers</w:t>
      </w:r>
      <w:proofErr w:type="spellEnd"/>
      <w:r w:rsidRPr="00DD2DC6">
        <w:rPr>
          <w:sz w:val="16"/>
          <w:szCs w:val="16"/>
          <w:lang w:val="pl-PL"/>
        </w:rPr>
        <w:t xml:space="preserve"> został laureatem nagród przyznanych przez tą instytucję. Najnowszym wyróżnieniem zdobytym przez </w:t>
      </w:r>
      <w:proofErr w:type="spellStart"/>
      <w:r w:rsidRPr="00DD2DC6">
        <w:rPr>
          <w:sz w:val="16"/>
          <w:szCs w:val="16"/>
          <w:lang w:val="pl-PL"/>
        </w:rPr>
        <w:t>Colliers</w:t>
      </w:r>
      <w:proofErr w:type="spellEnd"/>
      <w:r w:rsidRPr="00DD2DC6">
        <w:rPr>
          <w:sz w:val="16"/>
          <w:szCs w:val="16"/>
          <w:lang w:val="pl-PL"/>
        </w:rPr>
        <w:t xml:space="preserve"> jest tytuł International Real </w:t>
      </w:r>
      <w:proofErr w:type="spellStart"/>
      <w:r w:rsidRPr="00DD2DC6">
        <w:rPr>
          <w:sz w:val="16"/>
          <w:szCs w:val="16"/>
          <w:lang w:val="pl-PL"/>
        </w:rPr>
        <w:t>Estate</w:t>
      </w:r>
      <w:proofErr w:type="spellEnd"/>
      <w:r w:rsidRPr="00DD2DC6">
        <w:rPr>
          <w:sz w:val="16"/>
          <w:szCs w:val="16"/>
          <w:lang w:val="pl-PL"/>
        </w:rPr>
        <w:t xml:space="preserve"> </w:t>
      </w:r>
      <w:proofErr w:type="spellStart"/>
      <w:r w:rsidRPr="00DD2DC6">
        <w:rPr>
          <w:sz w:val="16"/>
          <w:szCs w:val="16"/>
          <w:lang w:val="pl-PL"/>
        </w:rPr>
        <w:t>Agency</w:t>
      </w:r>
      <w:proofErr w:type="spellEnd"/>
      <w:r w:rsidRPr="00DD2DC6">
        <w:rPr>
          <w:sz w:val="16"/>
          <w:szCs w:val="16"/>
          <w:lang w:val="pl-PL"/>
        </w:rPr>
        <w:t xml:space="preserve"> of the </w:t>
      </w:r>
      <w:proofErr w:type="spellStart"/>
      <w:r w:rsidRPr="00DD2DC6">
        <w:rPr>
          <w:sz w:val="16"/>
          <w:szCs w:val="16"/>
          <w:lang w:val="pl-PL"/>
        </w:rPr>
        <w:t>Year</w:t>
      </w:r>
      <w:proofErr w:type="spellEnd"/>
      <w:r w:rsidRPr="00DD2DC6">
        <w:rPr>
          <w:sz w:val="16"/>
          <w:szCs w:val="16"/>
          <w:lang w:val="pl-PL"/>
        </w:rPr>
        <w:t xml:space="preserve"> przyznany w listopadzie tego roku przez magazyn CEE </w:t>
      </w:r>
      <w:proofErr w:type="spellStart"/>
      <w:r w:rsidRPr="00DD2DC6">
        <w:rPr>
          <w:sz w:val="16"/>
          <w:szCs w:val="16"/>
          <w:lang w:val="pl-PL"/>
        </w:rPr>
        <w:t>CiJ</w:t>
      </w:r>
      <w:proofErr w:type="spellEnd"/>
      <w:r w:rsidRPr="00DD2DC6">
        <w:rPr>
          <w:sz w:val="16"/>
          <w:szCs w:val="16"/>
          <w:lang w:val="pl-PL"/>
        </w:rPr>
        <w:t>.</w:t>
      </w:r>
    </w:p>
    <w:p w:rsidR="00DD2DC6" w:rsidRPr="00DD2DC6" w:rsidRDefault="00DD2DC6" w:rsidP="00DD2DC6">
      <w:pPr>
        <w:pStyle w:val="COL5--Bodycopy"/>
        <w:spacing w:line="240" w:lineRule="auto"/>
        <w:rPr>
          <w:sz w:val="16"/>
          <w:szCs w:val="16"/>
          <w:lang w:val="pl-PL"/>
        </w:rPr>
      </w:pPr>
      <w:proofErr w:type="spellStart"/>
      <w:r w:rsidRPr="00DD2DC6">
        <w:rPr>
          <w:sz w:val="16"/>
          <w:szCs w:val="16"/>
          <w:lang w:val="pl-PL"/>
        </w:rPr>
        <w:t>Colliers</w:t>
      </w:r>
      <w:proofErr w:type="spellEnd"/>
      <w:r w:rsidRPr="00DD2DC6">
        <w:rPr>
          <w:sz w:val="16"/>
          <w:szCs w:val="16"/>
          <w:lang w:val="pl-PL"/>
        </w:rPr>
        <w:t xml:space="preserve"> International otrzymał notę 5* w kategorii Najlepsza Firma Doradcza na rynku nieruchomości w Polsce w konkursie International </w:t>
      </w:r>
      <w:proofErr w:type="spellStart"/>
      <w:r w:rsidRPr="00DD2DC6">
        <w:rPr>
          <w:sz w:val="16"/>
          <w:szCs w:val="16"/>
          <w:lang w:val="pl-PL"/>
        </w:rPr>
        <w:t>Property</w:t>
      </w:r>
      <w:proofErr w:type="spellEnd"/>
      <w:r w:rsidRPr="00DD2DC6">
        <w:rPr>
          <w:sz w:val="16"/>
          <w:szCs w:val="16"/>
          <w:lang w:val="pl-PL"/>
        </w:rPr>
        <w:t xml:space="preserve"> </w:t>
      </w:r>
      <w:proofErr w:type="spellStart"/>
      <w:r w:rsidRPr="00DD2DC6">
        <w:rPr>
          <w:sz w:val="16"/>
          <w:szCs w:val="16"/>
          <w:lang w:val="pl-PL"/>
        </w:rPr>
        <w:t>Awards</w:t>
      </w:r>
      <w:proofErr w:type="spellEnd"/>
      <w:r w:rsidRPr="00DD2DC6">
        <w:rPr>
          <w:sz w:val="16"/>
          <w:szCs w:val="16"/>
          <w:lang w:val="pl-PL"/>
        </w:rPr>
        <w:t>, organizowan</w:t>
      </w:r>
      <w:r w:rsidR="002C3CA2">
        <w:rPr>
          <w:sz w:val="16"/>
          <w:szCs w:val="16"/>
          <w:lang w:val="pl-PL"/>
        </w:rPr>
        <w:t>ym</w:t>
      </w:r>
      <w:r w:rsidRPr="00DD2DC6">
        <w:rPr>
          <w:sz w:val="16"/>
          <w:szCs w:val="16"/>
          <w:lang w:val="pl-PL"/>
        </w:rPr>
        <w:t xml:space="preserve"> przy wsparciu RICS. </w:t>
      </w:r>
    </w:p>
    <w:p w:rsidR="00DD2DC6" w:rsidRPr="00DD2DC6" w:rsidRDefault="00DD2DC6" w:rsidP="00DD2DC6">
      <w:pPr>
        <w:pStyle w:val="COL5--Bodycopy"/>
        <w:spacing w:line="240" w:lineRule="auto"/>
        <w:rPr>
          <w:sz w:val="16"/>
          <w:szCs w:val="16"/>
          <w:lang w:val="pl-PL"/>
        </w:rPr>
      </w:pPr>
      <w:r w:rsidRPr="00B56998">
        <w:rPr>
          <w:sz w:val="16"/>
          <w:szCs w:val="16"/>
        </w:rPr>
        <w:t xml:space="preserve">Colliers zwyciężył w trzech kategoriach nagród Eurobuild Awards: Warehouse Agency Team of the Year, Office Agency Team of the Year oraz Retail Agency Team of the Year 2012. </w:t>
      </w:r>
      <w:r w:rsidRPr="00DD2DC6">
        <w:rPr>
          <w:sz w:val="16"/>
          <w:szCs w:val="16"/>
          <w:lang w:val="pl-PL"/>
        </w:rPr>
        <w:t xml:space="preserve">W najnowszej edycji konkursu CEE </w:t>
      </w:r>
      <w:proofErr w:type="spellStart"/>
      <w:r w:rsidRPr="00DD2DC6">
        <w:rPr>
          <w:sz w:val="16"/>
          <w:szCs w:val="16"/>
          <w:lang w:val="pl-PL"/>
        </w:rPr>
        <w:t>Quality</w:t>
      </w:r>
      <w:proofErr w:type="spellEnd"/>
      <w:r w:rsidRPr="00DD2DC6">
        <w:rPr>
          <w:sz w:val="16"/>
          <w:szCs w:val="16"/>
          <w:lang w:val="pl-PL"/>
        </w:rPr>
        <w:t xml:space="preserve"> </w:t>
      </w:r>
      <w:proofErr w:type="spellStart"/>
      <w:r w:rsidRPr="00DD2DC6">
        <w:rPr>
          <w:sz w:val="16"/>
          <w:szCs w:val="16"/>
          <w:lang w:val="pl-PL"/>
        </w:rPr>
        <w:t>Awards</w:t>
      </w:r>
      <w:proofErr w:type="spellEnd"/>
      <w:r w:rsidRPr="00DD2DC6">
        <w:rPr>
          <w:sz w:val="16"/>
          <w:szCs w:val="16"/>
          <w:lang w:val="pl-PL"/>
        </w:rPr>
        <w:t xml:space="preserve"> 2013 </w:t>
      </w:r>
      <w:proofErr w:type="spellStart"/>
      <w:r w:rsidRPr="00DD2DC6">
        <w:rPr>
          <w:sz w:val="16"/>
          <w:szCs w:val="16"/>
          <w:lang w:val="pl-PL"/>
        </w:rPr>
        <w:t>Colliers</w:t>
      </w:r>
      <w:proofErr w:type="spellEnd"/>
      <w:r w:rsidRPr="00DD2DC6">
        <w:rPr>
          <w:sz w:val="16"/>
          <w:szCs w:val="16"/>
          <w:lang w:val="pl-PL"/>
        </w:rPr>
        <w:t xml:space="preserve"> został uhonorowany tytułem Agencji Roku w kategorii powierzchni magazynowych oraz Firmy Roku w kategorii Zarządzania Nieruchomościami.</w:t>
      </w:r>
    </w:p>
    <w:p w:rsidR="00D26871" w:rsidRDefault="00DD2DC6" w:rsidP="00BB688C">
      <w:pPr>
        <w:pStyle w:val="COL5--Bodycopy"/>
        <w:spacing w:line="240" w:lineRule="auto"/>
        <w:rPr>
          <w:sz w:val="16"/>
          <w:szCs w:val="16"/>
          <w:lang w:val="pl-PL"/>
        </w:rPr>
      </w:pPr>
      <w:r w:rsidRPr="00DD2DC6">
        <w:rPr>
          <w:sz w:val="16"/>
          <w:szCs w:val="16"/>
          <w:lang w:val="pl-PL"/>
        </w:rPr>
        <w:t xml:space="preserve">Więcej na: </w:t>
      </w:r>
      <w:hyperlink r:id="rId9" w:history="1">
        <w:r w:rsidRPr="00570090">
          <w:rPr>
            <w:rStyle w:val="Hyperlink"/>
            <w:sz w:val="16"/>
            <w:szCs w:val="16"/>
            <w:lang w:val="pl-PL"/>
          </w:rPr>
          <w:t>http://www.colliers.com/en-pl/poland</w:t>
        </w:r>
      </w:hyperlink>
    </w:p>
    <w:p w:rsidR="00DD2DC6" w:rsidRPr="003F3EB7" w:rsidRDefault="00DD2DC6" w:rsidP="00BB688C">
      <w:pPr>
        <w:pStyle w:val="COL5--Bodycopy"/>
        <w:spacing w:line="240" w:lineRule="auto"/>
        <w:rPr>
          <w:sz w:val="16"/>
          <w:szCs w:val="16"/>
          <w:lang w:val="pl-PL"/>
        </w:rPr>
      </w:pPr>
    </w:p>
    <w:p w:rsidR="007E42A7" w:rsidRPr="007E42A7" w:rsidRDefault="00B56998" w:rsidP="007E42A7">
      <w:pPr>
        <w:spacing w:after="120"/>
        <w:rPr>
          <w:color w:val="4B4B4B"/>
          <w:sz w:val="16"/>
          <w:szCs w:val="16"/>
          <w:lang w:val="pl-PL"/>
        </w:rPr>
      </w:pPr>
      <w:r>
        <w:rPr>
          <w:color w:val="4B4B4B"/>
          <w:sz w:val="16"/>
          <w:szCs w:val="16"/>
          <w:lang w:val="pl-PL"/>
        </w:rPr>
        <w:t xml:space="preserve">Obserwuj </w:t>
      </w:r>
      <w:proofErr w:type="spellStart"/>
      <w:r>
        <w:rPr>
          <w:color w:val="4B4B4B"/>
          <w:sz w:val="16"/>
          <w:szCs w:val="16"/>
          <w:lang w:val="pl-PL"/>
        </w:rPr>
        <w:t>Colliers</w:t>
      </w:r>
      <w:proofErr w:type="spellEnd"/>
      <w:r>
        <w:rPr>
          <w:color w:val="4B4B4B"/>
          <w:sz w:val="16"/>
          <w:szCs w:val="16"/>
          <w:lang w:val="pl-PL"/>
        </w:rPr>
        <w:t xml:space="preserve"> na: </w:t>
      </w:r>
    </w:p>
    <w:p w:rsidR="003D6363" w:rsidRDefault="003D6363" w:rsidP="003D6363">
      <w:r>
        <w:rPr>
          <w:noProof/>
          <w:lang w:val="pl-PL" w:eastAsia="pl-PL"/>
        </w:rPr>
        <w:drawing>
          <wp:inline distT="0" distB="0" distL="0" distR="0" wp14:anchorId="177C8A92" wp14:editId="1FDCC3A1">
            <wp:extent cx="233045" cy="233045"/>
            <wp:effectExtent l="0" t="0" r="0" b="0"/>
            <wp:docPr id="6" name="Picture 6" descr="cid:image009.jpg@01CF1852.C579C33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9.jpg@01CF1852.C579C33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eastAsia="pl-PL"/>
        </w:rPr>
        <w:t xml:space="preserve"> </w:t>
      </w:r>
      <w:r>
        <w:rPr>
          <w:noProof/>
          <w:lang w:val="pl-PL" w:eastAsia="pl-PL"/>
        </w:rPr>
        <w:drawing>
          <wp:inline distT="0" distB="0" distL="0" distR="0" wp14:anchorId="7349C0FD" wp14:editId="6F7DB161">
            <wp:extent cx="233045" cy="233045"/>
            <wp:effectExtent l="0" t="0" r="0" b="0"/>
            <wp:docPr id="5" name="Picture 5" descr="cid:image010.jpg@01CF1852.C579C33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10.jpg@01CF1852.C579C33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  <w:lang w:val="pl-PL" w:eastAsia="pl-PL"/>
        </w:rPr>
        <w:drawing>
          <wp:inline distT="0" distB="0" distL="0" distR="0" wp14:anchorId="440ABFAA" wp14:editId="6B67A61C">
            <wp:extent cx="233045" cy="233045"/>
            <wp:effectExtent l="0" t="0" r="0" b="0"/>
            <wp:docPr id="4" name="Picture 4" descr="cid:image011.png@01CF1852.C579C33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11.png@01CF1852.C579C33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2A7" w:rsidRDefault="007E42A7" w:rsidP="007E42A7">
      <w:r>
        <w:rPr>
          <w:color w:val="000000"/>
          <w:lang w:eastAsia="pl-PL"/>
        </w:rPr>
        <w:t xml:space="preserve"> </w:t>
      </w:r>
      <w:r>
        <w:t> </w:t>
      </w:r>
    </w:p>
    <w:p w:rsidR="00B56998" w:rsidRPr="00BD08B8" w:rsidRDefault="00A612D3" w:rsidP="00BD08B8">
      <w:pPr>
        <w:spacing w:after="120"/>
        <w:rPr>
          <w:color w:val="4B4B4B"/>
          <w:sz w:val="16"/>
          <w:szCs w:val="16"/>
          <w:lang w:val="pl-PL"/>
        </w:rPr>
      </w:pPr>
      <w:r>
        <w:rPr>
          <w:rFonts w:cs="Arial"/>
          <w:sz w:val="18"/>
          <w:szCs w:val="18"/>
        </w:rPr>
        <w:t xml:space="preserve">    </w:t>
      </w:r>
    </w:p>
    <w:p w:rsidR="00CE660F" w:rsidRPr="003F3EB7" w:rsidRDefault="00CE660F" w:rsidP="00BB688C">
      <w:pPr>
        <w:pStyle w:val="COL5--Bodycopy"/>
        <w:spacing w:line="240" w:lineRule="auto"/>
        <w:rPr>
          <w:sz w:val="16"/>
          <w:szCs w:val="16"/>
          <w:lang w:val="pl-PL"/>
        </w:rPr>
      </w:pPr>
    </w:p>
    <w:sectPr w:rsidR="00CE660F" w:rsidRPr="003F3EB7" w:rsidSect="00DF5453">
      <w:headerReference w:type="default" r:id="rId19"/>
      <w:headerReference w:type="first" r:id="rId20"/>
      <w:footerReference w:type="first" r:id="rId21"/>
      <w:pgSz w:w="11909" w:h="16834" w:code="9"/>
      <w:pgMar w:top="2235" w:right="2347" w:bottom="720" w:left="1800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73" w:rsidRDefault="001A1673" w:rsidP="003C71F8">
      <w:pPr>
        <w:spacing w:line="240" w:lineRule="auto"/>
      </w:pPr>
      <w:r>
        <w:separator/>
      </w:r>
    </w:p>
  </w:endnote>
  <w:endnote w:type="continuationSeparator" w:id="0">
    <w:p w:rsidR="001A1673" w:rsidRDefault="001A1673" w:rsidP="003C71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1F8" w:rsidRPr="0069322D" w:rsidRDefault="003B1E27" w:rsidP="009E5D68">
    <w:pPr>
      <w:pStyle w:val="Footer"/>
      <w:tabs>
        <w:tab w:val="left" w:pos="7230"/>
      </w:tabs>
      <w:spacing w:before="520" w:line="180" w:lineRule="exact"/>
      <w:ind w:right="532"/>
      <w:rPr>
        <w:color w:val="4B4B4B"/>
        <w:sz w:val="14"/>
      </w:rPr>
    </w:pPr>
    <w:r w:rsidRPr="0069322D">
      <w:rPr>
        <w:noProof/>
        <w:color w:val="4B4B4B"/>
        <w:sz w:val="14"/>
        <w:lang w:val="pl-PL" w:eastAsia="pl-PL"/>
      </w:rPr>
      <w:drawing>
        <wp:anchor distT="0" distB="0" distL="114300" distR="114300" simplePos="0" relativeHeight="251656192" behindDoc="1" locked="1" layoutInCell="1" allowOverlap="1" wp14:anchorId="4C144B4F" wp14:editId="4199F742">
          <wp:simplePos x="0" y="0"/>
          <wp:positionH relativeFrom="page">
            <wp:posOffset>5990590</wp:posOffset>
          </wp:positionH>
          <wp:positionV relativeFrom="page">
            <wp:posOffset>9658350</wp:posOffset>
          </wp:positionV>
          <wp:extent cx="1579245" cy="1038225"/>
          <wp:effectExtent l="19050" t="0" r="1905" b="0"/>
          <wp:wrapNone/>
          <wp:docPr id="8" name="Picture 1" descr="sash color L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sh color LH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5D68" w:rsidRPr="0069322D">
      <w:rPr>
        <w:noProof/>
        <w:color w:val="4B4B4B"/>
        <w:sz w:val="14"/>
        <w:lang w:val="pl-PL" w:eastAsia="pl-PL"/>
      </w:rPr>
      <w:drawing>
        <wp:anchor distT="0" distB="0" distL="114300" distR="114300" simplePos="0" relativeHeight="251661312" behindDoc="1" locked="1" layoutInCell="1" allowOverlap="1" wp14:anchorId="4AAF657C" wp14:editId="45D51CF7">
          <wp:simplePos x="0" y="0"/>
          <wp:positionH relativeFrom="page">
            <wp:posOffset>5990590</wp:posOffset>
          </wp:positionH>
          <wp:positionV relativeFrom="page">
            <wp:posOffset>9658350</wp:posOffset>
          </wp:positionV>
          <wp:extent cx="1579245" cy="1038225"/>
          <wp:effectExtent l="19050" t="0" r="1905" b="0"/>
          <wp:wrapNone/>
          <wp:docPr id="10" name="Picture 1" descr="sash color L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sh color LH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7B3B" w:rsidRPr="0069322D">
      <w:rPr>
        <w:color w:val="4B4B4B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73" w:rsidRDefault="001A1673" w:rsidP="003C71F8">
      <w:pPr>
        <w:spacing w:line="240" w:lineRule="auto"/>
      </w:pPr>
      <w:r>
        <w:separator/>
      </w:r>
    </w:p>
  </w:footnote>
  <w:footnote w:type="continuationSeparator" w:id="0">
    <w:p w:rsidR="001A1673" w:rsidRDefault="001A1673" w:rsidP="003C71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1F8" w:rsidRDefault="003B1E27">
    <w:pPr>
      <w:pStyle w:val="Header"/>
    </w:pPr>
    <w:r>
      <w:rPr>
        <w:noProof/>
        <w:lang w:val="pl-PL" w:eastAsia="pl-PL"/>
      </w:rPr>
      <w:drawing>
        <wp:anchor distT="0" distB="0" distL="114300" distR="114300" simplePos="0" relativeHeight="251655168" behindDoc="1" locked="1" layoutInCell="1" allowOverlap="1" wp14:anchorId="46A1A6F8" wp14:editId="428F505C">
          <wp:simplePos x="0" y="0"/>
          <wp:positionH relativeFrom="page">
            <wp:posOffset>6190615</wp:posOffset>
          </wp:positionH>
          <wp:positionV relativeFrom="page">
            <wp:posOffset>365760</wp:posOffset>
          </wp:positionV>
          <wp:extent cx="1028700" cy="695325"/>
          <wp:effectExtent l="19050" t="0" r="0" b="0"/>
          <wp:wrapNone/>
          <wp:docPr id="9" name="Picture 0" descr="Colliers color logo L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lliers color logo LH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801" w:tblpY="577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3686"/>
    </w:tblGrid>
    <w:tr w:rsidR="004802A1" w:rsidTr="00510576">
      <w:trPr>
        <w:trHeight w:val="854"/>
      </w:trPr>
      <w:tc>
        <w:tcPr>
          <w:tcW w:w="3544" w:type="dxa"/>
        </w:tcPr>
        <w:p w:rsidR="00D26871" w:rsidRPr="00DB5F9A" w:rsidRDefault="00DB5F9A" w:rsidP="00B81686">
          <w:pPr>
            <w:pStyle w:val="COL1--Headercopy"/>
            <w:spacing w:line="240" w:lineRule="auto"/>
            <w:rPr>
              <w:b/>
              <w:color w:val="4B4B4B"/>
              <w:sz w:val="20"/>
              <w:szCs w:val="20"/>
              <w:lang w:val="pl-PL"/>
            </w:rPr>
          </w:pPr>
          <w:r w:rsidRPr="00DB5F9A">
            <w:rPr>
              <w:b/>
              <w:color w:val="4B4B4B"/>
              <w:sz w:val="20"/>
              <w:szCs w:val="20"/>
              <w:lang w:val="pl-PL"/>
            </w:rPr>
            <w:t>S</w:t>
          </w:r>
          <w:r w:rsidR="003F3D1C" w:rsidRPr="00DB5F9A">
            <w:rPr>
              <w:b/>
              <w:color w:val="4B4B4B"/>
              <w:sz w:val="20"/>
              <w:szCs w:val="20"/>
              <w:lang w:val="pl-PL"/>
            </w:rPr>
            <w:t>ylwia Szymańska</w:t>
          </w:r>
          <w:r w:rsidR="00D26871" w:rsidRPr="00DB5F9A">
            <w:rPr>
              <w:b/>
              <w:color w:val="4B4B4B"/>
              <w:sz w:val="20"/>
              <w:szCs w:val="20"/>
              <w:lang w:val="pl-PL"/>
            </w:rPr>
            <w:t xml:space="preserve"> </w:t>
          </w:r>
        </w:p>
        <w:p w:rsidR="004802A1" w:rsidRPr="00DB5F9A" w:rsidRDefault="003F3D1C" w:rsidP="00B81686">
          <w:pPr>
            <w:pStyle w:val="COL1--Headercopy"/>
            <w:tabs>
              <w:tab w:val="clear" w:pos="2160"/>
              <w:tab w:val="clear" w:pos="4320"/>
              <w:tab w:val="clear" w:pos="4770"/>
            </w:tabs>
            <w:spacing w:line="240" w:lineRule="auto"/>
            <w:rPr>
              <w:color w:val="4B4B4B"/>
              <w:sz w:val="20"/>
              <w:szCs w:val="20"/>
              <w:lang w:val="pl-PL"/>
            </w:rPr>
          </w:pPr>
          <w:r w:rsidRPr="00DB5F9A">
            <w:rPr>
              <w:color w:val="4B4B4B"/>
              <w:sz w:val="20"/>
              <w:szCs w:val="20"/>
              <w:lang w:val="pl-PL"/>
            </w:rPr>
            <w:t>PR Specialist</w:t>
          </w:r>
        </w:p>
        <w:p w:rsidR="003F3D1C" w:rsidRPr="00DB5F9A" w:rsidRDefault="001A1673" w:rsidP="00B81686">
          <w:pPr>
            <w:pStyle w:val="COL1--Headercopy"/>
            <w:tabs>
              <w:tab w:val="clear" w:pos="2160"/>
              <w:tab w:val="clear" w:pos="4320"/>
              <w:tab w:val="clear" w:pos="4770"/>
            </w:tabs>
            <w:spacing w:line="240" w:lineRule="auto"/>
            <w:rPr>
              <w:color w:val="00B0F0"/>
              <w:sz w:val="20"/>
              <w:szCs w:val="20"/>
              <w:u w:val="single"/>
              <w:lang w:val="pl-PL"/>
            </w:rPr>
          </w:pPr>
          <w:r>
            <w:fldChar w:fldCharType="begin"/>
          </w:r>
          <w:r w:rsidRPr="00D91D32">
            <w:rPr>
              <w:lang w:val="pl-PL"/>
            </w:rPr>
            <w:instrText xml:space="preserve"> HYPERLINK "mailto:sylwia.szymanska@colliers.com" </w:instrText>
          </w:r>
          <w:r>
            <w:fldChar w:fldCharType="separate"/>
          </w:r>
          <w:r w:rsidR="003F3D1C" w:rsidRPr="00DB5F9A">
            <w:rPr>
              <w:rStyle w:val="Hyperlink"/>
              <w:sz w:val="20"/>
              <w:szCs w:val="20"/>
              <w:lang w:val="pl-PL"/>
            </w:rPr>
            <w:t>sylwia.szymanska@colliers.com</w:t>
          </w:r>
          <w:r>
            <w:rPr>
              <w:rStyle w:val="Hyperlink"/>
              <w:sz w:val="20"/>
              <w:szCs w:val="20"/>
              <w:lang w:val="pl-PL"/>
            </w:rPr>
            <w:fldChar w:fldCharType="end"/>
          </w:r>
          <w:r w:rsidR="003F3D1C" w:rsidRPr="00DB5F9A">
            <w:rPr>
              <w:color w:val="4B4B4B"/>
              <w:sz w:val="20"/>
              <w:szCs w:val="20"/>
              <w:lang w:val="pl-PL"/>
            </w:rPr>
            <w:t xml:space="preserve"> </w:t>
          </w:r>
        </w:p>
      </w:tc>
      <w:tc>
        <w:tcPr>
          <w:tcW w:w="3686" w:type="dxa"/>
        </w:tcPr>
        <w:p w:rsidR="00D26871" w:rsidRPr="00DB5F9A" w:rsidRDefault="003F3D1C" w:rsidP="00B81686">
          <w:pPr>
            <w:pStyle w:val="COL1--Headercopy"/>
            <w:tabs>
              <w:tab w:val="clear" w:pos="2160"/>
              <w:tab w:val="left" w:pos="346"/>
              <w:tab w:val="left" w:pos="567"/>
            </w:tabs>
            <w:spacing w:line="240" w:lineRule="auto"/>
            <w:rPr>
              <w:color w:val="4B4B4B"/>
              <w:sz w:val="20"/>
              <w:szCs w:val="20"/>
            </w:rPr>
          </w:pPr>
          <w:r w:rsidRPr="00DB5F9A">
            <w:rPr>
              <w:color w:val="4B4B4B"/>
              <w:szCs w:val="20"/>
            </w:rPr>
            <w:t>MOB</w:t>
          </w:r>
          <w:r w:rsidRPr="00DB5F9A">
            <w:rPr>
              <w:color w:val="4B4B4B"/>
              <w:sz w:val="20"/>
              <w:szCs w:val="20"/>
            </w:rPr>
            <w:t xml:space="preserve">  </w:t>
          </w:r>
          <w:r w:rsidR="00B81686" w:rsidRPr="00DB5F9A">
            <w:rPr>
              <w:color w:val="4B4B4B"/>
              <w:sz w:val="20"/>
              <w:szCs w:val="20"/>
            </w:rPr>
            <w:tab/>
            <w:t>+48 666 819 228</w:t>
          </w:r>
        </w:p>
        <w:p w:rsidR="00D26871" w:rsidRPr="00DB5F9A" w:rsidRDefault="00DF5453" w:rsidP="00B81686">
          <w:pPr>
            <w:pStyle w:val="COL1--Headercopy"/>
            <w:tabs>
              <w:tab w:val="clear" w:pos="2160"/>
              <w:tab w:val="left" w:pos="346"/>
              <w:tab w:val="left" w:pos="567"/>
            </w:tabs>
            <w:spacing w:line="240" w:lineRule="auto"/>
            <w:rPr>
              <w:color w:val="4B4B4B"/>
              <w:sz w:val="20"/>
              <w:szCs w:val="20"/>
            </w:rPr>
          </w:pPr>
          <w:r w:rsidRPr="00DB5F9A">
            <w:rPr>
              <w:color w:val="4B4B4B"/>
              <w:szCs w:val="20"/>
            </w:rPr>
            <w:t>MAIN</w:t>
          </w:r>
          <w:r w:rsidR="00D26871" w:rsidRPr="00DB5F9A">
            <w:rPr>
              <w:color w:val="4B4B4B"/>
              <w:sz w:val="20"/>
              <w:szCs w:val="20"/>
            </w:rPr>
            <w:t xml:space="preserve"> </w:t>
          </w:r>
          <w:r w:rsidR="00B81686" w:rsidRPr="00DB5F9A">
            <w:rPr>
              <w:color w:val="4B4B4B"/>
              <w:sz w:val="20"/>
              <w:szCs w:val="20"/>
            </w:rPr>
            <w:tab/>
          </w:r>
          <w:r w:rsidR="00D26871" w:rsidRPr="00DB5F9A">
            <w:rPr>
              <w:color w:val="4B4B4B"/>
              <w:sz w:val="20"/>
              <w:szCs w:val="20"/>
            </w:rPr>
            <w:t>+48 22 331 78</w:t>
          </w:r>
          <w:r w:rsidRPr="00DB5F9A">
            <w:rPr>
              <w:color w:val="4B4B4B"/>
              <w:sz w:val="20"/>
              <w:szCs w:val="20"/>
            </w:rPr>
            <w:t xml:space="preserve"> </w:t>
          </w:r>
          <w:r w:rsidR="00D26871" w:rsidRPr="00DB5F9A">
            <w:rPr>
              <w:color w:val="4B4B4B"/>
              <w:sz w:val="20"/>
              <w:szCs w:val="20"/>
            </w:rPr>
            <w:t>00</w:t>
          </w:r>
        </w:p>
        <w:p w:rsidR="004802A1" w:rsidRPr="003F3D1C" w:rsidRDefault="00DF5453" w:rsidP="00DB5F9A">
          <w:pPr>
            <w:pStyle w:val="COL1--Headercopy"/>
            <w:tabs>
              <w:tab w:val="clear" w:pos="2160"/>
              <w:tab w:val="left" w:pos="360"/>
              <w:tab w:val="left" w:pos="567"/>
            </w:tabs>
            <w:spacing w:line="240" w:lineRule="auto"/>
            <w:rPr>
              <w:color w:val="4B4B4B"/>
              <w:sz w:val="20"/>
              <w:szCs w:val="20"/>
            </w:rPr>
          </w:pPr>
          <w:r w:rsidRPr="00DB5F9A">
            <w:rPr>
              <w:color w:val="4B4B4B"/>
              <w:szCs w:val="20"/>
            </w:rPr>
            <w:t>FAX</w:t>
          </w:r>
          <w:r w:rsidR="00D26871" w:rsidRPr="00DB5F9A">
            <w:rPr>
              <w:color w:val="4B4B4B"/>
              <w:sz w:val="20"/>
              <w:szCs w:val="20"/>
            </w:rPr>
            <w:t xml:space="preserve"> </w:t>
          </w:r>
          <w:r w:rsidRPr="00DB5F9A">
            <w:rPr>
              <w:color w:val="4B4B4B"/>
              <w:sz w:val="20"/>
              <w:szCs w:val="20"/>
            </w:rPr>
            <w:t xml:space="preserve"> </w:t>
          </w:r>
          <w:r w:rsidR="003F3D1C" w:rsidRPr="00DB5F9A">
            <w:rPr>
              <w:color w:val="4B4B4B"/>
              <w:sz w:val="20"/>
              <w:szCs w:val="20"/>
            </w:rPr>
            <w:t xml:space="preserve"> </w:t>
          </w:r>
          <w:r w:rsidR="00B81686" w:rsidRPr="00DB5F9A">
            <w:rPr>
              <w:color w:val="4B4B4B"/>
              <w:sz w:val="20"/>
              <w:szCs w:val="20"/>
            </w:rPr>
            <w:tab/>
          </w:r>
          <w:r w:rsidR="00D26871" w:rsidRPr="00DB5F9A">
            <w:rPr>
              <w:color w:val="4B4B4B"/>
              <w:sz w:val="20"/>
              <w:szCs w:val="20"/>
            </w:rPr>
            <w:t>+48 22 331 78</w:t>
          </w:r>
          <w:r w:rsidRPr="00DB5F9A">
            <w:rPr>
              <w:color w:val="4B4B4B"/>
              <w:sz w:val="20"/>
              <w:szCs w:val="20"/>
            </w:rPr>
            <w:t xml:space="preserve"> </w:t>
          </w:r>
          <w:r w:rsidR="00D26871" w:rsidRPr="00DB5F9A">
            <w:rPr>
              <w:color w:val="4B4B4B"/>
              <w:sz w:val="20"/>
              <w:szCs w:val="20"/>
            </w:rPr>
            <w:t>01</w:t>
          </w:r>
        </w:p>
      </w:tc>
    </w:tr>
    <w:tr w:rsidR="00DF5453" w:rsidTr="009B59EE">
      <w:trPr>
        <w:trHeight w:val="709"/>
      </w:trPr>
      <w:tc>
        <w:tcPr>
          <w:tcW w:w="7230" w:type="dxa"/>
          <w:gridSpan w:val="2"/>
          <w:noWrap/>
          <w:vAlign w:val="center"/>
        </w:tcPr>
        <w:p w:rsidR="00DF5453" w:rsidRPr="00B81686" w:rsidRDefault="009B59EE" w:rsidP="009B59EE">
          <w:pPr>
            <w:pStyle w:val="COL1--Headercopy"/>
            <w:tabs>
              <w:tab w:val="left" w:pos="346"/>
            </w:tabs>
            <w:spacing w:before="360" w:after="240"/>
            <w:rPr>
              <w:color w:val="00B0F0"/>
              <w:sz w:val="32"/>
              <w:szCs w:val="32"/>
            </w:rPr>
          </w:pPr>
          <w:r>
            <w:rPr>
              <w:color w:val="00B0F0"/>
              <w:sz w:val="32"/>
              <w:szCs w:val="32"/>
            </w:rPr>
            <w:t>Informacja prasowa</w:t>
          </w:r>
        </w:p>
      </w:tc>
    </w:tr>
  </w:tbl>
  <w:p w:rsidR="006A36AC" w:rsidRPr="003D1E57" w:rsidRDefault="003B1E27" w:rsidP="00AA6FC1">
    <w:pPr>
      <w:pStyle w:val="COL1--Headercopy"/>
      <w:tabs>
        <w:tab w:val="clear" w:pos="2160"/>
        <w:tab w:val="clear" w:pos="4320"/>
        <w:tab w:val="clear" w:pos="4770"/>
      </w:tabs>
    </w:pPr>
    <w:r>
      <w:rPr>
        <w:noProof/>
        <w:lang w:val="pl-PL" w:eastAsia="pl-PL"/>
      </w:rPr>
      <w:drawing>
        <wp:anchor distT="0" distB="0" distL="114300" distR="114300" simplePos="0" relativeHeight="251659264" behindDoc="1" locked="1" layoutInCell="1" allowOverlap="1" wp14:anchorId="1313267F" wp14:editId="60B889D6">
          <wp:simplePos x="0" y="0"/>
          <wp:positionH relativeFrom="page">
            <wp:posOffset>6190615</wp:posOffset>
          </wp:positionH>
          <wp:positionV relativeFrom="page">
            <wp:posOffset>365760</wp:posOffset>
          </wp:positionV>
          <wp:extent cx="1028700" cy="695325"/>
          <wp:effectExtent l="19050" t="0" r="0" b="0"/>
          <wp:wrapNone/>
          <wp:docPr id="7" name="Picture 0" descr="Colliers color logo L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lliers color logo LH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6AA"/>
    <w:multiLevelType w:val="hybridMultilevel"/>
    <w:tmpl w:val="7158A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B0AE0"/>
    <w:multiLevelType w:val="hybridMultilevel"/>
    <w:tmpl w:val="E85C8F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61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929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20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5CE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41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02D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40C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CC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3632C4"/>
    <w:multiLevelType w:val="hybridMultilevel"/>
    <w:tmpl w:val="81D07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E1FC8"/>
    <w:multiLevelType w:val="hybridMultilevel"/>
    <w:tmpl w:val="1876C1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56F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C69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AA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62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0B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62B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6C5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A9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AF25B89"/>
    <w:multiLevelType w:val="hybridMultilevel"/>
    <w:tmpl w:val="08F064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5AA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05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6F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7A6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0B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C8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8CA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22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D9"/>
    <w:rsid w:val="00001C15"/>
    <w:rsid w:val="000221A4"/>
    <w:rsid w:val="000256BB"/>
    <w:rsid w:val="00045B9A"/>
    <w:rsid w:val="0006171F"/>
    <w:rsid w:val="00090AF3"/>
    <w:rsid w:val="000B0D79"/>
    <w:rsid w:val="000C6AFB"/>
    <w:rsid w:val="000D1D77"/>
    <w:rsid w:val="000E6AF8"/>
    <w:rsid w:val="000E7CD0"/>
    <w:rsid w:val="001272A2"/>
    <w:rsid w:val="001363AE"/>
    <w:rsid w:val="00140224"/>
    <w:rsid w:val="0014325A"/>
    <w:rsid w:val="001961C5"/>
    <w:rsid w:val="00197218"/>
    <w:rsid w:val="001A1673"/>
    <w:rsid w:val="001B743C"/>
    <w:rsid w:val="001C0976"/>
    <w:rsid w:val="002242CC"/>
    <w:rsid w:val="0023777E"/>
    <w:rsid w:val="00271B10"/>
    <w:rsid w:val="00282E32"/>
    <w:rsid w:val="002C3CA2"/>
    <w:rsid w:val="00343738"/>
    <w:rsid w:val="003A7466"/>
    <w:rsid w:val="003B1E27"/>
    <w:rsid w:val="003B6F90"/>
    <w:rsid w:val="003C0F54"/>
    <w:rsid w:val="003C41B6"/>
    <w:rsid w:val="003C71F8"/>
    <w:rsid w:val="003D1E57"/>
    <w:rsid w:val="003D6363"/>
    <w:rsid w:val="003E5868"/>
    <w:rsid w:val="003F34EF"/>
    <w:rsid w:val="003F3D1C"/>
    <w:rsid w:val="003F3EB7"/>
    <w:rsid w:val="00434991"/>
    <w:rsid w:val="00440986"/>
    <w:rsid w:val="0047213F"/>
    <w:rsid w:val="004802A1"/>
    <w:rsid w:val="004B4C12"/>
    <w:rsid w:val="004C0D95"/>
    <w:rsid w:val="004F5521"/>
    <w:rsid w:val="004F6DDA"/>
    <w:rsid w:val="0050149E"/>
    <w:rsid w:val="00507BF7"/>
    <w:rsid w:val="00510576"/>
    <w:rsid w:val="00515B87"/>
    <w:rsid w:val="0053308F"/>
    <w:rsid w:val="005867CF"/>
    <w:rsid w:val="005C30B5"/>
    <w:rsid w:val="005E7196"/>
    <w:rsid w:val="00626C53"/>
    <w:rsid w:val="00645939"/>
    <w:rsid w:val="00660736"/>
    <w:rsid w:val="006734A6"/>
    <w:rsid w:val="0069322D"/>
    <w:rsid w:val="006A36AC"/>
    <w:rsid w:val="006B4631"/>
    <w:rsid w:val="006D16E2"/>
    <w:rsid w:val="006D42AF"/>
    <w:rsid w:val="00731105"/>
    <w:rsid w:val="0076720D"/>
    <w:rsid w:val="007726B6"/>
    <w:rsid w:val="00777698"/>
    <w:rsid w:val="007841BA"/>
    <w:rsid w:val="00794AB2"/>
    <w:rsid w:val="007A3416"/>
    <w:rsid w:val="007C1096"/>
    <w:rsid w:val="007E42A7"/>
    <w:rsid w:val="007F640D"/>
    <w:rsid w:val="007F7E73"/>
    <w:rsid w:val="00820247"/>
    <w:rsid w:val="008226BA"/>
    <w:rsid w:val="00845F3C"/>
    <w:rsid w:val="008601F0"/>
    <w:rsid w:val="0086265C"/>
    <w:rsid w:val="00882AEB"/>
    <w:rsid w:val="008975D9"/>
    <w:rsid w:val="008A22D0"/>
    <w:rsid w:val="008C64F3"/>
    <w:rsid w:val="0092662B"/>
    <w:rsid w:val="009479FC"/>
    <w:rsid w:val="00962883"/>
    <w:rsid w:val="00967269"/>
    <w:rsid w:val="00970481"/>
    <w:rsid w:val="00982D28"/>
    <w:rsid w:val="009B59EE"/>
    <w:rsid w:val="009B689C"/>
    <w:rsid w:val="009E15DB"/>
    <w:rsid w:val="009E5A74"/>
    <w:rsid w:val="009E5D68"/>
    <w:rsid w:val="009F7DF7"/>
    <w:rsid w:val="00A22EC4"/>
    <w:rsid w:val="00A612D3"/>
    <w:rsid w:val="00A65839"/>
    <w:rsid w:val="00A766E7"/>
    <w:rsid w:val="00A804D5"/>
    <w:rsid w:val="00AA6FC1"/>
    <w:rsid w:val="00AC31E3"/>
    <w:rsid w:val="00AD38D9"/>
    <w:rsid w:val="00AE7B3B"/>
    <w:rsid w:val="00B1769D"/>
    <w:rsid w:val="00B22DEB"/>
    <w:rsid w:val="00B34C11"/>
    <w:rsid w:val="00B56998"/>
    <w:rsid w:val="00B81686"/>
    <w:rsid w:val="00BB688C"/>
    <w:rsid w:val="00BD08B8"/>
    <w:rsid w:val="00BD6B97"/>
    <w:rsid w:val="00BF1D7C"/>
    <w:rsid w:val="00C04079"/>
    <w:rsid w:val="00C41C33"/>
    <w:rsid w:val="00C86B44"/>
    <w:rsid w:val="00C95002"/>
    <w:rsid w:val="00C95788"/>
    <w:rsid w:val="00CC0DE1"/>
    <w:rsid w:val="00CD16BE"/>
    <w:rsid w:val="00CD7EF0"/>
    <w:rsid w:val="00CE660F"/>
    <w:rsid w:val="00D0346C"/>
    <w:rsid w:val="00D26871"/>
    <w:rsid w:val="00D370FA"/>
    <w:rsid w:val="00D62506"/>
    <w:rsid w:val="00D91D32"/>
    <w:rsid w:val="00DB5F9A"/>
    <w:rsid w:val="00DB6B22"/>
    <w:rsid w:val="00DC3675"/>
    <w:rsid w:val="00DD2DC6"/>
    <w:rsid w:val="00DF5453"/>
    <w:rsid w:val="00E079A0"/>
    <w:rsid w:val="00E46047"/>
    <w:rsid w:val="00E603ED"/>
    <w:rsid w:val="00E60911"/>
    <w:rsid w:val="00EB4032"/>
    <w:rsid w:val="00EB68F6"/>
    <w:rsid w:val="00EE0C8F"/>
    <w:rsid w:val="00EE403E"/>
    <w:rsid w:val="00F117A6"/>
    <w:rsid w:val="00F1278D"/>
    <w:rsid w:val="00F502E6"/>
    <w:rsid w:val="00F661BC"/>
    <w:rsid w:val="00F96A17"/>
    <w:rsid w:val="00FD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D0"/>
    <w:pPr>
      <w:spacing w:line="280" w:lineRule="atLeast"/>
    </w:pPr>
    <w:rPr>
      <w:rFonts w:ascii="Arial" w:hAnsi="Arial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1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1F8"/>
  </w:style>
  <w:style w:type="paragraph" w:styleId="Footer">
    <w:name w:val="footer"/>
    <w:basedOn w:val="Normal"/>
    <w:link w:val="FooterChar"/>
    <w:uiPriority w:val="99"/>
    <w:unhideWhenUsed/>
    <w:rsid w:val="003C71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1F8"/>
  </w:style>
  <w:style w:type="paragraph" w:styleId="BalloonText">
    <w:name w:val="Balloon Text"/>
    <w:basedOn w:val="Normal"/>
    <w:link w:val="BalloonTextChar"/>
    <w:uiPriority w:val="99"/>
    <w:semiHidden/>
    <w:unhideWhenUsed/>
    <w:rsid w:val="003C7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1C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5--Bodycopy">
    <w:name w:val="COL5 -- Body copy"/>
    <w:link w:val="COL5--BodycopyChar"/>
    <w:qFormat/>
    <w:rsid w:val="003F34EF"/>
    <w:pPr>
      <w:spacing w:line="280" w:lineRule="atLeast"/>
      <w:jc w:val="both"/>
    </w:pPr>
    <w:rPr>
      <w:rFonts w:ascii="Arial" w:hAnsi="Arial"/>
      <w:color w:val="4B4B4B"/>
      <w:szCs w:val="22"/>
      <w:lang w:val="en-US" w:eastAsia="en-US"/>
    </w:rPr>
  </w:style>
  <w:style w:type="paragraph" w:customStyle="1" w:styleId="COL4--Datatitles">
    <w:name w:val="COL4 -- Data titles"/>
    <w:basedOn w:val="COL5--Bodycopy"/>
    <w:link w:val="COL4--DatatitlesChar"/>
    <w:qFormat/>
    <w:rsid w:val="00DB5F9A"/>
    <w:pPr>
      <w:spacing w:after="120"/>
    </w:pPr>
    <w:rPr>
      <w:sz w:val="24"/>
    </w:rPr>
  </w:style>
  <w:style w:type="paragraph" w:customStyle="1" w:styleId="COL1--Headercopy">
    <w:name w:val="COL1 -- Header copy"/>
    <w:basedOn w:val="Header"/>
    <w:qFormat/>
    <w:rsid w:val="00967269"/>
    <w:pPr>
      <w:tabs>
        <w:tab w:val="clear" w:pos="4680"/>
        <w:tab w:val="clear" w:pos="9360"/>
        <w:tab w:val="left" w:pos="2160"/>
        <w:tab w:val="left" w:pos="4320"/>
        <w:tab w:val="left" w:pos="4770"/>
      </w:tabs>
      <w:spacing w:line="180" w:lineRule="exact"/>
    </w:pPr>
    <w:rPr>
      <w:sz w:val="14"/>
    </w:rPr>
  </w:style>
  <w:style w:type="paragraph" w:customStyle="1" w:styleId="COL3--Documentheadline">
    <w:name w:val="COL3 -- Document headline"/>
    <w:basedOn w:val="COL5--Bodycopy"/>
    <w:link w:val="COL3--DocumentheadlineChar"/>
    <w:qFormat/>
    <w:rsid w:val="0069322D"/>
    <w:pPr>
      <w:spacing w:before="120" w:after="240"/>
      <w:jc w:val="center"/>
    </w:pPr>
    <w:rPr>
      <w:caps/>
      <w:sz w:val="36"/>
    </w:rPr>
  </w:style>
  <w:style w:type="character" w:customStyle="1" w:styleId="COL2--Headerallcaptitles">
    <w:name w:val="COL2 -- Header all cap titles"/>
    <w:basedOn w:val="DefaultParagraphFont"/>
    <w:uiPriority w:val="1"/>
    <w:qFormat/>
    <w:rsid w:val="00F502E6"/>
    <w:rPr>
      <w:sz w:val="10"/>
    </w:rPr>
  </w:style>
  <w:style w:type="character" w:styleId="Hyperlink">
    <w:name w:val="Hyperlink"/>
    <w:basedOn w:val="DefaultParagraphFont"/>
    <w:uiPriority w:val="99"/>
    <w:unhideWhenUsed/>
    <w:rsid w:val="00D26871"/>
    <w:rPr>
      <w:color w:val="0093D0" w:themeColor="hyperlink"/>
      <w:u w:val="single"/>
    </w:rPr>
  </w:style>
  <w:style w:type="paragraph" w:customStyle="1" w:styleId="Lead">
    <w:name w:val="Lead"/>
    <w:basedOn w:val="COL4--Datatitles"/>
    <w:link w:val="LeadChar"/>
    <w:qFormat/>
    <w:rsid w:val="00DB5F9A"/>
  </w:style>
  <w:style w:type="paragraph" w:customStyle="1" w:styleId="Title1">
    <w:name w:val="Title1"/>
    <w:basedOn w:val="COL3--Documentheadline"/>
    <w:link w:val="titleChar"/>
    <w:autoRedefine/>
    <w:qFormat/>
    <w:rsid w:val="00F96A17"/>
    <w:pPr>
      <w:spacing w:before="960"/>
    </w:pPr>
    <w:rPr>
      <w:sz w:val="28"/>
      <w:szCs w:val="28"/>
    </w:rPr>
  </w:style>
  <w:style w:type="character" w:customStyle="1" w:styleId="COL5--BodycopyChar">
    <w:name w:val="COL5 -- Body copy Char"/>
    <w:basedOn w:val="DefaultParagraphFont"/>
    <w:link w:val="COL5--Bodycopy"/>
    <w:rsid w:val="00DB5F9A"/>
    <w:rPr>
      <w:rFonts w:ascii="Arial" w:hAnsi="Arial"/>
      <w:color w:val="4B4B4B"/>
      <w:szCs w:val="22"/>
      <w:lang w:val="en-US" w:eastAsia="en-US"/>
    </w:rPr>
  </w:style>
  <w:style w:type="character" w:customStyle="1" w:styleId="COL4--DatatitlesChar">
    <w:name w:val="COL4 -- Data titles Char"/>
    <w:basedOn w:val="COL5--BodycopyChar"/>
    <w:link w:val="COL4--Datatitles"/>
    <w:rsid w:val="00DB5F9A"/>
    <w:rPr>
      <w:rFonts w:ascii="Arial" w:hAnsi="Arial"/>
      <w:color w:val="4B4B4B"/>
      <w:sz w:val="24"/>
      <w:szCs w:val="22"/>
      <w:lang w:val="en-US" w:eastAsia="en-US"/>
    </w:rPr>
  </w:style>
  <w:style w:type="character" w:customStyle="1" w:styleId="LeadChar">
    <w:name w:val="Lead Char"/>
    <w:basedOn w:val="COL4--DatatitlesChar"/>
    <w:link w:val="Lead"/>
    <w:rsid w:val="00DB5F9A"/>
    <w:rPr>
      <w:rFonts w:ascii="Arial" w:hAnsi="Arial"/>
      <w:color w:val="4B4B4B"/>
      <w:sz w:val="24"/>
      <w:szCs w:val="22"/>
      <w:lang w:val="en-US" w:eastAsia="en-US"/>
    </w:rPr>
  </w:style>
  <w:style w:type="paragraph" w:customStyle="1" w:styleId="body">
    <w:name w:val="body"/>
    <w:basedOn w:val="COL5--Bodycopy"/>
    <w:link w:val="bodyChar"/>
    <w:qFormat/>
    <w:rsid w:val="00DB5F9A"/>
    <w:pPr>
      <w:spacing w:before="240" w:after="360"/>
    </w:pPr>
  </w:style>
  <w:style w:type="character" w:customStyle="1" w:styleId="COL3--DocumentheadlineChar">
    <w:name w:val="COL3 -- Document headline Char"/>
    <w:basedOn w:val="COL5--BodycopyChar"/>
    <w:link w:val="COL3--Documentheadline"/>
    <w:rsid w:val="00DB5F9A"/>
    <w:rPr>
      <w:rFonts w:ascii="Arial" w:hAnsi="Arial"/>
      <w:caps/>
      <w:color w:val="4B4B4B"/>
      <w:sz w:val="36"/>
      <w:szCs w:val="22"/>
      <w:lang w:val="en-US" w:eastAsia="en-US"/>
    </w:rPr>
  </w:style>
  <w:style w:type="character" w:customStyle="1" w:styleId="titleChar">
    <w:name w:val="title Char"/>
    <w:basedOn w:val="COL3--DocumentheadlineChar"/>
    <w:link w:val="Title1"/>
    <w:rsid w:val="00F96A17"/>
    <w:rPr>
      <w:rFonts w:ascii="Arial" w:hAnsi="Arial"/>
      <w:caps/>
      <w:color w:val="4B4B4B"/>
      <w:sz w:val="28"/>
      <w:szCs w:val="28"/>
      <w:lang w:val="en-US" w:eastAsia="en-US"/>
    </w:rPr>
  </w:style>
  <w:style w:type="character" w:customStyle="1" w:styleId="bodyChar">
    <w:name w:val="body Char"/>
    <w:basedOn w:val="COL5--BodycopyChar"/>
    <w:link w:val="body"/>
    <w:rsid w:val="00DB5F9A"/>
    <w:rPr>
      <w:rFonts w:ascii="Arial" w:hAnsi="Arial"/>
      <w:color w:val="4B4B4B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D0"/>
    <w:pPr>
      <w:spacing w:line="280" w:lineRule="atLeast"/>
    </w:pPr>
    <w:rPr>
      <w:rFonts w:ascii="Arial" w:hAnsi="Arial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1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1F8"/>
  </w:style>
  <w:style w:type="paragraph" w:styleId="Footer">
    <w:name w:val="footer"/>
    <w:basedOn w:val="Normal"/>
    <w:link w:val="FooterChar"/>
    <w:uiPriority w:val="99"/>
    <w:unhideWhenUsed/>
    <w:rsid w:val="003C71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1F8"/>
  </w:style>
  <w:style w:type="paragraph" w:styleId="BalloonText">
    <w:name w:val="Balloon Text"/>
    <w:basedOn w:val="Normal"/>
    <w:link w:val="BalloonTextChar"/>
    <w:uiPriority w:val="99"/>
    <w:semiHidden/>
    <w:unhideWhenUsed/>
    <w:rsid w:val="003C7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1C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5--Bodycopy">
    <w:name w:val="COL5 -- Body copy"/>
    <w:link w:val="COL5--BodycopyChar"/>
    <w:qFormat/>
    <w:rsid w:val="003F34EF"/>
    <w:pPr>
      <w:spacing w:line="280" w:lineRule="atLeast"/>
      <w:jc w:val="both"/>
    </w:pPr>
    <w:rPr>
      <w:rFonts w:ascii="Arial" w:hAnsi="Arial"/>
      <w:color w:val="4B4B4B"/>
      <w:szCs w:val="22"/>
      <w:lang w:val="en-US" w:eastAsia="en-US"/>
    </w:rPr>
  </w:style>
  <w:style w:type="paragraph" w:customStyle="1" w:styleId="COL4--Datatitles">
    <w:name w:val="COL4 -- Data titles"/>
    <w:basedOn w:val="COL5--Bodycopy"/>
    <w:link w:val="COL4--DatatitlesChar"/>
    <w:qFormat/>
    <w:rsid w:val="00DB5F9A"/>
    <w:pPr>
      <w:spacing w:after="120"/>
    </w:pPr>
    <w:rPr>
      <w:sz w:val="24"/>
    </w:rPr>
  </w:style>
  <w:style w:type="paragraph" w:customStyle="1" w:styleId="COL1--Headercopy">
    <w:name w:val="COL1 -- Header copy"/>
    <w:basedOn w:val="Header"/>
    <w:qFormat/>
    <w:rsid w:val="00967269"/>
    <w:pPr>
      <w:tabs>
        <w:tab w:val="clear" w:pos="4680"/>
        <w:tab w:val="clear" w:pos="9360"/>
        <w:tab w:val="left" w:pos="2160"/>
        <w:tab w:val="left" w:pos="4320"/>
        <w:tab w:val="left" w:pos="4770"/>
      </w:tabs>
      <w:spacing w:line="180" w:lineRule="exact"/>
    </w:pPr>
    <w:rPr>
      <w:sz w:val="14"/>
    </w:rPr>
  </w:style>
  <w:style w:type="paragraph" w:customStyle="1" w:styleId="COL3--Documentheadline">
    <w:name w:val="COL3 -- Document headline"/>
    <w:basedOn w:val="COL5--Bodycopy"/>
    <w:link w:val="COL3--DocumentheadlineChar"/>
    <w:qFormat/>
    <w:rsid w:val="0069322D"/>
    <w:pPr>
      <w:spacing w:before="120" w:after="240"/>
      <w:jc w:val="center"/>
    </w:pPr>
    <w:rPr>
      <w:caps/>
      <w:sz w:val="36"/>
    </w:rPr>
  </w:style>
  <w:style w:type="character" w:customStyle="1" w:styleId="COL2--Headerallcaptitles">
    <w:name w:val="COL2 -- Header all cap titles"/>
    <w:basedOn w:val="DefaultParagraphFont"/>
    <w:uiPriority w:val="1"/>
    <w:qFormat/>
    <w:rsid w:val="00F502E6"/>
    <w:rPr>
      <w:sz w:val="10"/>
    </w:rPr>
  </w:style>
  <w:style w:type="character" w:styleId="Hyperlink">
    <w:name w:val="Hyperlink"/>
    <w:basedOn w:val="DefaultParagraphFont"/>
    <w:uiPriority w:val="99"/>
    <w:unhideWhenUsed/>
    <w:rsid w:val="00D26871"/>
    <w:rPr>
      <w:color w:val="0093D0" w:themeColor="hyperlink"/>
      <w:u w:val="single"/>
    </w:rPr>
  </w:style>
  <w:style w:type="paragraph" w:customStyle="1" w:styleId="Lead">
    <w:name w:val="Lead"/>
    <w:basedOn w:val="COL4--Datatitles"/>
    <w:link w:val="LeadChar"/>
    <w:qFormat/>
    <w:rsid w:val="00DB5F9A"/>
  </w:style>
  <w:style w:type="paragraph" w:customStyle="1" w:styleId="Title1">
    <w:name w:val="Title1"/>
    <w:basedOn w:val="COL3--Documentheadline"/>
    <w:link w:val="titleChar"/>
    <w:autoRedefine/>
    <w:qFormat/>
    <w:rsid w:val="00F96A17"/>
    <w:pPr>
      <w:spacing w:before="960"/>
    </w:pPr>
    <w:rPr>
      <w:sz w:val="28"/>
      <w:szCs w:val="28"/>
    </w:rPr>
  </w:style>
  <w:style w:type="character" w:customStyle="1" w:styleId="COL5--BodycopyChar">
    <w:name w:val="COL5 -- Body copy Char"/>
    <w:basedOn w:val="DefaultParagraphFont"/>
    <w:link w:val="COL5--Bodycopy"/>
    <w:rsid w:val="00DB5F9A"/>
    <w:rPr>
      <w:rFonts w:ascii="Arial" w:hAnsi="Arial"/>
      <w:color w:val="4B4B4B"/>
      <w:szCs w:val="22"/>
      <w:lang w:val="en-US" w:eastAsia="en-US"/>
    </w:rPr>
  </w:style>
  <w:style w:type="character" w:customStyle="1" w:styleId="COL4--DatatitlesChar">
    <w:name w:val="COL4 -- Data titles Char"/>
    <w:basedOn w:val="COL5--BodycopyChar"/>
    <w:link w:val="COL4--Datatitles"/>
    <w:rsid w:val="00DB5F9A"/>
    <w:rPr>
      <w:rFonts w:ascii="Arial" w:hAnsi="Arial"/>
      <w:color w:val="4B4B4B"/>
      <w:sz w:val="24"/>
      <w:szCs w:val="22"/>
      <w:lang w:val="en-US" w:eastAsia="en-US"/>
    </w:rPr>
  </w:style>
  <w:style w:type="character" w:customStyle="1" w:styleId="LeadChar">
    <w:name w:val="Lead Char"/>
    <w:basedOn w:val="COL4--DatatitlesChar"/>
    <w:link w:val="Lead"/>
    <w:rsid w:val="00DB5F9A"/>
    <w:rPr>
      <w:rFonts w:ascii="Arial" w:hAnsi="Arial"/>
      <w:color w:val="4B4B4B"/>
      <w:sz w:val="24"/>
      <w:szCs w:val="22"/>
      <w:lang w:val="en-US" w:eastAsia="en-US"/>
    </w:rPr>
  </w:style>
  <w:style w:type="paragraph" w:customStyle="1" w:styleId="body">
    <w:name w:val="body"/>
    <w:basedOn w:val="COL5--Bodycopy"/>
    <w:link w:val="bodyChar"/>
    <w:qFormat/>
    <w:rsid w:val="00DB5F9A"/>
    <w:pPr>
      <w:spacing w:before="240" w:after="360"/>
    </w:pPr>
  </w:style>
  <w:style w:type="character" w:customStyle="1" w:styleId="COL3--DocumentheadlineChar">
    <w:name w:val="COL3 -- Document headline Char"/>
    <w:basedOn w:val="COL5--BodycopyChar"/>
    <w:link w:val="COL3--Documentheadline"/>
    <w:rsid w:val="00DB5F9A"/>
    <w:rPr>
      <w:rFonts w:ascii="Arial" w:hAnsi="Arial"/>
      <w:caps/>
      <w:color w:val="4B4B4B"/>
      <w:sz w:val="36"/>
      <w:szCs w:val="22"/>
      <w:lang w:val="en-US" w:eastAsia="en-US"/>
    </w:rPr>
  </w:style>
  <w:style w:type="character" w:customStyle="1" w:styleId="titleChar">
    <w:name w:val="title Char"/>
    <w:basedOn w:val="COL3--DocumentheadlineChar"/>
    <w:link w:val="Title1"/>
    <w:rsid w:val="00F96A17"/>
    <w:rPr>
      <w:rFonts w:ascii="Arial" w:hAnsi="Arial"/>
      <w:caps/>
      <w:color w:val="4B4B4B"/>
      <w:sz w:val="28"/>
      <w:szCs w:val="28"/>
      <w:lang w:val="en-US" w:eastAsia="en-US"/>
    </w:rPr>
  </w:style>
  <w:style w:type="character" w:customStyle="1" w:styleId="bodyChar">
    <w:name w:val="body Char"/>
    <w:basedOn w:val="COL5--BodycopyChar"/>
    <w:link w:val="body"/>
    <w:rsid w:val="00DB5F9A"/>
    <w:rPr>
      <w:rFonts w:ascii="Arial" w:hAnsi="Arial"/>
      <w:color w:val="4B4B4B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nkedin.com/company/colliers-international-poland/" TargetMode="External"/><Relationship Id="rId18" Type="http://schemas.openxmlformats.org/officeDocument/2006/relationships/image" Target="cid:image011.png@01CF1852.C579C33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cid:image009.jpg@01CF1852.C579C330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www.youtube.com/Colliers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cid:image010.jpg@01CF1852.C579C33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colliersp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lliers.com/en-pl/poland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.szymanska\Desktop\PR_all\PRESS\PRESS%20RELEASES\TEMPLATE_EN.dotx" TargetMode="External"/></Relationships>
</file>

<file path=word/theme/theme1.xml><?xml version="1.0" encoding="utf-8"?>
<a:theme xmlns:a="http://schemas.openxmlformats.org/drawingml/2006/main" name="Motyw pakietu Office">
  <a:themeElements>
    <a:clrScheme name="Colliers">
      <a:dk1>
        <a:srgbClr val="4B4B4B"/>
      </a:dk1>
      <a:lt1>
        <a:sysClr val="window" lastClr="FFFFFF"/>
      </a:lt1>
      <a:dk2>
        <a:srgbClr val="00467F"/>
      </a:dk2>
      <a:lt2>
        <a:srgbClr val="E6E6E6"/>
      </a:lt2>
      <a:accent1>
        <a:srgbClr val="0093D0"/>
      </a:accent1>
      <a:accent2>
        <a:srgbClr val="EE3124"/>
      </a:accent2>
      <a:accent3>
        <a:srgbClr val="6CBFE6"/>
      </a:accent3>
      <a:accent4>
        <a:srgbClr val="B32317"/>
      </a:accent4>
      <a:accent5>
        <a:srgbClr val="DFEFF9"/>
      </a:accent5>
      <a:accent6>
        <a:srgbClr val="FFC425"/>
      </a:accent6>
      <a:hlink>
        <a:srgbClr val="0093D0"/>
      </a:hlink>
      <a:folHlink>
        <a:srgbClr val="8C8C8C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EB4E1-9503-4BD6-95CF-BA201695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TEMPLATE_EN</Template>
  <TotalTime>69</TotalTime>
  <Pages>4</Pages>
  <Words>1332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Szymańska</dc:creator>
  <cp:lastModifiedBy>Szymanska, Sylwia</cp:lastModifiedBy>
  <cp:revision>14</cp:revision>
  <dcterms:created xsi:type="dcterms:W3CDTF">2014-01-27T12:13:00Z</dcterms:created>
  <dcterms:modified xsi:type="dcterms:W3CDTF">2014-01-28T09:16:00Z</dcterms:modified>
</cp:coreProperties>
</file>